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HMS SiNGRAY G2 Marketing Pack</w:t>
      </w:r>
    </w:p>
    <w:p>
      <w:pPr>
        <w:pStyle w:val="Subtitle"/>
      </w:pPr>
      <w:r>
        <w:t>Product information and reusable marketing content for channel partners and customers</w:t>
      </w:r>
    </w:p>
    <w:p>
      <w:r>
        <w:t>Use this pack for product pages, proposals, presentations and customer discussions. The opening overview is followed by the full reference content and resource links.</w:t>
      </w:r>
    </w:p>
    <w:p>
      <w:hyperlink r:id="rId10">
        <w:r>
          <w:rPr>
            <w:color w:val="175A72"/>
            <w:u w:val="single"/>
          </w:rPr>
          <w:t xml:space="preserve">Open the online marketing pack</w:t>
        </w:r>
      </w:hyperlink>
      <w:r>
        <w:t xml:space="preserve">  •  Updated 21 September 2026</w:t>
      </w:r>
    </w:p>
    <w:p>
      <w:pPr>
        <w:pStyle w:val="Heading1"/>
      </w:pPr>
      <w:r>
        <w:t>Key Message and Key Specifications</w:t>
      </w:r>
    </w:p>
    <w:p>
      <w:pPr>
        <w:pStyle w:val="Heading3"/>
      </w:pPr>
      <w:r>
        <w:t>Product positioning</w:t>
      </w:r>
    </w:p>
    <w:p>
      <w:r>
        <w:rPr>
          <w:b w:val="0"/>
          <w:i w:val="0"/>
        </w:rPr>
        <w:t>SiNGRAY G2 is a standalone binocular optical see-through AR platform for enterprise applications. It combines Micro-OLED displays, 6DoF spatial tracking and on-device computing for remote assistance, guided work, training and spatial visualization.</w:t>
      </w:r>
    </w:p>
    <w:p>
      <w:pPr>
        <w:pStyle w:val="Heading3"/>
      </w:pPr>
      <w:r>
        <w:t>Availability and ordering</w:t>
      </w:r>
    </w:p>
    <w:p>
      <w:r>
        <w:rPr>
          <w:b w:val="0"/>
          <w:i w:val="0"/>
        </w:rPr>
        <w:t>Mass-production orders open on 10 October 2026, ahead of the Augmented Enterprise Summit on 13–15 October. Contact an authorized G2 distributor; configuration, pricing and delivery are confirmed for each order.</w:t>
      </w:r>
    </w:p>
    <w:p>
      <w:pPr>
        <w:pStyle w:val="Heading3"/>
      </w:pPr>
      <w:r>
        <w:t>What is supplied</w:t>
      </w:r>
    </w:p>
    <w:p>
      <w:r>
        <w:rPr>
          <w:b w:val="0"/>
          <w:i w:val="0"/>
        </w:rPr>
        <w:t>Single-Battery and Dual-Battery Kits are available. The device includes the operating system and HMS system software; applications and optional developer support are specified separately in the quotation. Exact hardware contents follow the packing list.</w:t>
      </w:r>
    </w:p>
    <w:p>
      <w:pPr>
        <w:pStyle w:val="Heading2"/>
      </w:pPr>
      <w:r>
        <w:t>Key Specifications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color w:val="000000"/>
                <w:sz w:val="18"/>
              </w:rPr>
              <w:t>Specification</w:t>
            </w:r>
          </w:p>
        </w:tc>
        <w:tc>
          <w:tcPr>
            <w:tcW w:type="dxa" w:w="7488"/>
            <w:vAlign w:val="center"/>
            <w:shd w:fill="DCEAF0"/>
          </w:tcPr>
          <w:p>
            <w:pPr>
              <w:spacing w:after="0" w:line="245" w:lineRule="auto"/>
            </w:pPr>
            <w:r>
              <w:rPr>
                <w:b/>
                <w:color w:val="000000"/>
                <w:sz w:val="18"/>
              </w:rPr>
              <w:t>SiNGRAY G2</w:t>
            </w:r>
          </w:p>
        </w:tc>
      </w:tr>
      <w:tr>
        <w:trPr>
          <w:cantSplit/>
        </w:trPr>
        <w:tc>
          <w:tcPr>
            <w:tcW w:type="dxa" w:w="2880"/>
            <w:vAlign w:val="center"/>
            <w:shd w:fill="FFFFFF"/>
          </w:tcPr>
          <w:p>
            <w:pPr>
              <w:spacing w:after="0" w:line="245" w:lineRule="auto"/>
            </w:pPr>
            <w:r>
              <w:rPr>
                <w:b w:val="0"/>
                <w:color w:val="000000"/>
                <w:sz w:val="18"/>
              </w:rPr>
              <w:t>Product type</w:t>
            </w:r>
          </w:p>
        </w:tc>
        <w:tc>
          <w:tcPr>
            <w:tcW w:type="dxa" w:w="7488"/>
            <w:vAlign w:val="center"/>
            <w:shd w:fill="FFFFFF"/>
          </w:tcPr>
          <w:p>
            <w:pPr>
              <w:spacing w:after="0" w:line="245" w:lineRule="auto"/>
            </w:pPr>
            <w:r>
              <w:rPr>
                <w:b w:val="0"/>
                <w:color w:val="000000"/>
                <w:sz w:val="18"/>
              </w:rPr>
              <w:t>Standalone binocular optical see-through AR headset</w:t>
            </w:r>
          </w:p>
        </w:tc>
      </w:tr>
      <w:tr>
        <w:trPr>
          <w:cantSplit/>
        </w:trPr>
        <w:tc>
          <w:tcPr>
            <w:tcW w:type="dxa" w:w="2880"/>
            <w:vAlign w:val="center"/>
            <w:shd w:fill="F4F7F9"/>
          </w:tcPr>
          <w:p>
            <w:pPr>
              <w:spacing w:after="0" w:line="245" w:lineRule="auto"/>
            </w:pPr>
            <w:r>
              <w:rPr>
                <w:b w:val="0"/>
                <w:color w:val="000000"/>
                <w:sz w:val="18"/>
              </w:rPr>
              <w:t>Display</w:t>
            </w:r>
          </w:p>
        </w:tc>
        <w:tc>
          <w:tcPr>
            <w:tcW w:type="dxa" w:w="7488"/>
            <w:vAlign w:val="center"/>
            <w:shd w:fill="F4F7F9"/>
          </w:tcPr>
          <w:p>
            <w:pPr>
              <w:spacing w:after="0" w:line="245" w:lineRule="auto"/>
            </w:pPr>
            <w:r>
              <w:rPr>
                <w:b w:val="0"/>
                <w:color w:val="000000"/>
                <w:sz w:val="18"/>
              </w:rPr>
              <w:t>Sony Micro-OLED; 1920 × 1200 per eye; 90 Hz</w:t>
            </w:r>
          </w:p>
        </w:tc>
      </w:tr>
      <w:tr>
        <w:trPr>
          <w:cantSplit/>
        </w:trPr>
        <w:tc>
          <w:tcPr>
            <w:tcW w:type="dxa" w:w="2880"/>
            <w:vAlign w:val="center"/>
            <w:shd w:fill="FFFFFF"/>
          </w:tcPr>
          <w:p>
            <w:pPr>
              <w:spacing w:after="0" w:line="245" w:lineRule="auto"/>
            </w:pPr>
            <w:r>
              <w:rPr>
                <w:b w:val="0"/>
                <w:color w:val="000000"/>
                <w:sz w:val="18"/>
              </w:rPr>
              <w:t>Field of view</w:t>
            </w:r>
          </w:p>
        </w:tc>
        <w:tc>
          <w:tcPr>
            <w:tcW w:type="dxa" w:w="7488"/>
            <w:vAlign w:val="center"/>
            <w:shd w:fill="FFFFFF"/>
          </w:tcPr>
          <w:p>
            <w:pPr>
              <w:spacing w:after="0" w:line="245" w:lineRule="auto"/>
            </w:pPr>
            <w:r>
              <w:rPr>
                <w:b w:val="0"/>
                <w:color w:val="000000"/>
                <w:sz w:val="18"/>
              </w:rPr>
              <w:t>51° diagonal; 45° horizontal; 28° vertical</w:t>
            </w:r>
          </w:p>
        </w:tc>
      </w:tr>
      <w:tr>
        <w:trPr>
          <w:cantSplit/>
        </w:trPr>
        <w:tc>
          <w:tcPr>
            <w:tcW w:type="dxa" w:w="2880"/>
            <w:vAlign w:val="center"/>
            <w:shd w:fill="F4F7F9"/>
          </w:tcPr>
          <w:p>
            <w:pPr>
              <w:spacing w:after="0" w:line="245" w:lineRule="auto"/>
            </w:pPr>
            <w:r>
              <w:rPr>
                <w:b w:val="0"/>
                <w:color w:val="000000"/>
                <w:sz w:val="18"/>
              </w:rPr>
              <w:t>Processors</w:t>
            </w:r>
          </w:p>
        </w:tc>
        <w:tc>
          <w:tcPr>
            <w:tcW w:type="dxa" w:w="7488"/>
            <w:vAlign w:val="center"/>
            <w:shd w:fill="F4F7F9"/>
          </w:tcPr>
          <w:p>
            <w:pPr>
              <w:spacing w:after="0" w:line="245" w:lineRule="auto"/>
            </w:pPr>
            <w:r>
              <w:rPr>
                <w:b w:val="0"/>
                <w:color w:val="000000"/>
                <w:sz w:val="18"/>
              </w:rPr>
              <w:t>Qualcomm QCS8550; Intel Movidius Myriad X edge AI processor</w:t>
            </w:r>
          </w:p>
        </w:tc>
      </w:tr>
      <w:tr>
        <w:trPr>
          <w:cantSplit/>
        </w:trPr>
        <w:tc>
          <w:tcPr>
            <w:tcW w:type="dxa" w:w="2880"/>
            <w:vAlign w:val="center"/>
            <w:shd w:fill="FFFFFF"/>
          </w:tcPr>
          <w:p>
            <w:pPr>
              <w:spacing w:after="0" w:line="245" w:lineRule="auto"/>
            </w:pPr>
            <w:r>
              <w:rPr>
                <w:b w:val="0"/>
                <w:color w:val="000000"/>
                <w:sz w:val="18"/>
              </w:rPr>
              <w:t>Memory and storage</w:t>
            </w:r>
          </w:p>
        </w:tc>
        <w:tc>
          <w:tcPr>
            <w:tcW w:type="dxa" w:w="7488"/>
            <w:vAlign w:val="center"/>
            <w:shd w:fill="FFFFFF"/>
          </w:tcPr>
          <w:p>
            <w:pPr>
              <w:spacing w:after="0" w:line="245" w:lineRule="auto"/>
            </w:pPr>
            <w:r>
              <w:rPr>
                <w:b w:val="0"/>
                <w:color w:val="000000"/>
                <w:sz w:val="18"/>
              </w:rPr>
              <w:t>12 GB RAM; 128 GB or 256 GB, depending on configuration</w:t>
            </w:r>
          </w:p>
        </w:tc>
      </w:tr>
      <w:tr>
        <w:trPr>
          <w:cantSplit/>
        </w:trPr>
        <w:tc>
          <w:tcPr>
            <w:tcW w:type="dxa" w:w="2880"/>
            <w:vAlign w:val="center"/>
            <w:shd w:fill="F4F7F9"/>
          </w:tcPr>
          <w:p>
            <w:pPr>
              <w:spacing w:after="0" w:line="245" w:lineRule="auto"/>
            </w:pPr>
            <w:r>
              <w:rPr>
                <w:b w:val="0"/>
                <w:color w:val="000000"/>
                <w:sz w:val="18"/>
              </w:rPr>
              <w:t>Spatial tracking</w:t>
            </w:r>
          </w:p>
        </w:tc>
        <w:tc>
          <w:tcPr>
            <w:tcW w:type="dxa" w:w="7488"/>
            <w:vAlign w:val="center"/>
            <w:shd w:fill="F4F7F9"/>
          </w:tcPr>
          <w:p>
            <w:pPr>
              <w:spacing w:after="0" w:line="245" w:lineRule="auto"/>
            </w:pPr>
            <w:r>
              <w:rPr>
                <w:b w:val="0"/>
                <w:color w:val="000000"/>
                <w:sz w:val="18"/>
              </w:rPr>
              <w:t>6DoF visual SLAM; quad fisheye cameras; ToF depth; 9-axis IMU at 1000 Hz</w:t>
            </w:r>
          </w:p>
        </w:tc>
      </w:tr>
      <w:tr>
        <w:trPr>
          <w:cantSplit/>
        </w:trPr>
        <w:tc>
          <w:tcPr>
            <w:tcW w:type="dxa" w:w="2880"/>
            <w:vAlign w:val="center"/>
            <w:shd w:fill="FFFFFF"/>
          </w:tcPr>
          <w:p>
            <w:pPr>
              <w:spacing w:after="0" w:line="245" w:lineRule="auto"/>
            </w:pPr>
            <w:r>
              <w:rPr>
                <w:b w:val="0"/>
                <w:color w:val="000000"/>
                <w:sz w:val="18"/>
              </w:rPr>
              <w:t>Operating system</w:t>
            </w:r>
          </w:p>
        </w:tc>
        <w:tc>
          <w:tcPr>
            <w:tcW w:type="dxa" w:w="7488"/>
            <w:vAlign w:val="center"/>
            <w:shd w:fill="FFFFFF"/>
          </w:tcPr>
          <w:p>
            <w:pPr>
              <w:spacing w:after="0" w:line="245" w:lineRule="auto"/>
            </w:pPr>
            <w:r>
              <w:rPr>
                <w:b w:val="0"/>
                <w:color w:val="000000"/>
                <w:sz w:val="18"/>
              </w:rPr>
              <w:t>Android-based (Android 15 AOSP); MDM-ready</w:t>
            </w:r>
          </w:p>
        </w:tc>
      </w:tr>
      <w:tr>
        <w:trPr>
          <w:cantSplit/>
        </w:trPr>
        <w:tc>
          <w:tcPr>
            <w:tcW w:type="dxa" w:w="2880"/>
            <w:vAlign w:val="center"/>
            <w:shd w:fill="F4F7F9"/>
          </w:tcPr>
          <w:p>
            <w:pPr>
              <w:spacing w:after="0" w:line="245" w:lineRule="auto"/>
            </w:pPr>
            <w:r>
              <w:rPr>
                <w:b w:val="0"/>
                <w:color w:val="000000"/>
                <w:sz w:val="18"/>
              </w:rPr>
              <w:t>Development</w:t>
            </w:r>
          </w:p>
        </w:tc>
        <w:tc>
          <w:tcPr>
            <w:tcW w:type="dxa" w:w="7488"/>
            <w:vAlign w:val="center"/>
            <w:shd w:fill="F4F7F9"/>
          </w:tcPr>
          <w:p>
            <w:pPr>
              <w:spacing w:after="0" w:line="245" w:lineRule="auto"/>
            </w:pPr>
            <w:r>
              <w:rPr>
                <w:b w:val="0"/>
                <w:color w:val="000000"/>
                <w:sz w:val="18"/>
              </w:rPr>
              <w:t>OpenXR; Unity; SiNGRAY Native SDK</w:t>
            </w:r>
          </w:p>
        </w:tc>
      </w:tr>
      <w:tr>
        <w:trPr>
          <w:cantSplit/>
        </w:trPr>
        <w:tc>
          <w:tcPr>
            <w:tcW w:type="dxa" w:w="2880"/>
            <w:vAlign w:val="center"/>
            <w:shd w:fill="FFFFFF"/>
          </w:tcPr>
          <w:p>
            <w:pPr>
              <w:spacing w:after="0" w:line="245" w:lineRule="auto"/>
            </w:pPr>
            <w:r>
              <w:rPr>
                <w:b w:val="0"/>
                <w:color w:val="000000"/>
                <w:sz w:val="18"/>
              </w:rPr>
              <w:t>Battery</w:t>
            </w:r>
          </w:p>
        </w:tc>
        <w:tc>
          <w:tcPr>
            <w:tcW w:type="dxa" w:w="7488"/>
            <w:vAlign w:val="center"/>
            <w:shd w:fill="FFFFFF"/>
          </w:tcPr>
          <w:p>
            <w:pPr>
              <w:spacing w:after="0" w:line="245" w:lineRule="auto"/>
            </w:pPr>
            <w:r>
              <w:rPr>
                <w:b w:val="0"/>
                <w:color w:val="000000"/>
                <w:sz w:val="18"/>
              </w:rPr>
              <w:t>2500 mAh / 7.6 V (19 Wh); replaceable and hot-swappable</w:t>
            </w:r>
          </w:p>
        </w:tc>
      </w:tr>
      <w:tr>
        <w:trPr>
          <w:cantSplit/>
        </w:trPr>
        <w:tc>
          <w:tcPr>
            <w:tcW w:type="dxa" w:w="2880"/>
            <w:vAlign w:val="center"/>
            <w:shd w:fill="F4F7F9"/>
          </w:tcPr>
          <w:p>
            <w:pPr>
              <w:spacing w:after="0" w:line="245" w:lineRule="auto"/>
            </w:pPr>
            <w:r>
              <w:rPr>
                <w:b w:val="0"/>
                <w:color w:val="000000"/>
                <w:sz w:val="18"/>
              </w:rPr>
              <w:t>Ingress protection</w:t>
            </w:r>
          </w:p>
        </w:tc>
        <w:tc>
          <w:tcPr>
            <w:tcW w:type="dxa" w:w="7488"/>
            <w:vAlign w:val="center"/>
            <w:shd w:fill="F4F7F9"/>
          </w:tcPr>
          <w:p>
            <w:pPr>
              <w:spacing w:after="0" w:line="245" w:lineRule="auto"/>
            </w:pPr>
            <w:r>
              <w:rPr>
                <w:b w:val="0"/>
                <w:color w:val="000000"/>
                <w:sz w:val="18"/>
              </w:rPr>
              <w:t>IP65</w:t>
            </w:r>
          </w:p>
        </w:tc>
      </w:tr>
      <w:tr>
        <w:trPr>
          <w:cantSplit/>
        </w:trPr>
        <w:tc>
          <w:tcPr>
            <w:tcW w:type="dxa" w:w="2880"/>
            <w:vAlign w:val="center"/>
            <w:shd w:fill="FFFFFF"/>
          </w:tcPr>
          <w:p>
            <w:pPr>
              <w:spacing w:after="0" w:line="245" w:lineRule="auto"/>
            </w:pPr>
            <w:r>
              <w:rPr>
                <w:b w:val="0"/>
                <w:color w:val="000000"/>
                <w:sz w:val="18"/>
              </w:rPr>
              <w:t>Wearability</w:t>
            </w:r>
          </w:p>
        </w:tc>
        <w:tc>
          <w:tcPr>
            <w:tcW w:type="dxa" w:w="7488"/>
            <w:vAlign w:val="center"/>
            <w:shd w:fill="FFFFFF"/>
          </w:tcPr>
          <w:p>
            <w:pPr>
              <w:spacing w:after="0" w:line="245" w:lineRule="auto"/>
            </w:pPr>
            <w:r>
              <w:rPr>
                <w:b w:val="0"/>
                <w:color w:val="000000"/>
                <w:sz w:val="18"/>
              </w:rPr>
              <w:t>Compatible with prescription glasses; evaluate fit with required PPE</w:t>
            </w:r>
          </w:p>
        </w:tc>
      </w:tr>
      <w:tr>
        <w:trPr>
          <w:cantSplit/>
        </w:trPr>
        <w:tc>
          <w:tcPr>
            <w:tcW w:type="dxa" w:w="2880"/>
            <w:vAlign w:val="center"/>
            <w:shd w:fill="F4F7F9"/>
          </w:tcPr>
          <w:p>
            <w:pPr>
              <w:spacing w:after="0" w:line="245" w:lineRule="auto"/>
            </w:pPr>
            <w:r>
              <w:rPr>
                <w:b w:val="0"/>
                <w:color w:val="000000"/>
                <w:sz w:val="18"/>
              </w:rPr>
              <w:t>Connectivity</w:t>
            </w:r>
          </w:p>
        </w:tc>
        <w:tc>
          <w:tcPr>
            <w:tcW w:type="dxa" w:w="7488"/>
            <w:vAlign w:val="center"/>
            <w:shd w:fill="F4F7F9"/>
          </w:tcPr>
          <w:p>
            <w:pPr>
              <w:spacing w:after="0" w:line="245" w:lineRule="auto"/>
            </w:pPr>
            <w:r>
              <w:rPr>
                <w:b w:val="0"/>
                <w:color w:val="000000"/>
                <w:sz w:val="18"/>
              </w:rPr>
              <w:t>Wi-Fi 5; Bluetooth 5.4; USB Type-C</w:t>
            </w:r>
          </w:p>
        </w:tc>
      </w:tr>
    </w:tbl>
    <w:p>
      <w:pPr>
        <w:spacing w:after="20"/>
      </w:pPr>
    </w:p>
    <w:p>
      <w:pPr>
        <w:pStyle w:val="Heading1"/>
        <w:pageBreakBefore/>
      </w:pPr>
      <w:r>
        <w:t>Full Content</w:t>
      </w:r>
    </w:p>
    <w:p>
      <w:pPr>
        <w:pStyle w:val="Heading2"/>
      </w:pPr>
      <w:r>
        <w:t>1 Launch timeline and ordering</w:t>
      </w:r>
    </w:p>
    <w:p>
      <w:r>
        <w:rPr>
          <w:b w:val="0"/>
          <w:i w:val="0"/>
          <w:color w:val="555555"/>
          <w:sz w:val="18"/>
        </w:rPr>
        <w:t>Basis for a news item, newsletter entry or announcement. Adjust the date line to your publication date.</w:t>
      </w:r>
    </w:p>
    <w:p>
      <w:r>
        <w:rPr>
          <w:b/>
          <w:i w:val="0"/>
        </w:rPr>
        <w:t>HMS Inc. will open orders for mass-production SiNGRAY G2 on 10 October 2026, followed by its official launch at the Augmented Enterprise Summit, 13–15 October.</w:t>
      </w:r>
    </w:p>
    <w:p>
      <w:r>
        <w:rPr>
          <w:b w:val="0"/>
          <w:i w:val="0"/>
        </w:rPr>
        <w:t>The device is now entering commercial mass production. To place an order, contact an authorized G2 distributor and provide the deployment country, intended application, required quantity and target timeline. The distributor will issue a quotation covering hardware configuration, software, accessories and services, with the delivery schedule confirmed for each order.</w:t>
      </w:r>
    </w:p>
    <w:p>
      <w:pPr>
        <w:pStyle w:val="Heading2"/>
      </w:pPr>
      <w:r>
        <w:t>2 What is supplied</w:t>
      </w:r>
    </w:p>
    <w:p>
      <w:pPr>
        <w:pStyle w:val="Heading3"/>
      </w:pPr>
      <w:r>
        <w:t>2.1 Hardware</w:t>
      </w:r>
    </w:p>
    <w:p>
      <w:r>
        <w:rPr>
          <w:b w:val="0"/>
          <w:i w:val="0"/>
        </w:rPr>
        <w:t>The hardware package includes the SiNGRAY G2 headset, battery pack(s), a carrying case and charging accessories. Two kit configurations are available:</w:t>
      </w:r>
    </w:p>
    <w:p>
      <w:pPr>
        <w:pStyle w:val="ListBullet"/>
      </w:pPr>
      <w:r>
        <w:rPr>
          <w:b/>
          <w:i w:val="0"/>
        </w:rPr>
        <w:t>Single-Battery Kit</w:t>
      </w:r>
      <w:r>
        <w:rPr>
          <w:b w:val="0"/>
          <w:i w:val="0"/>
        </w:rPr>
        <w:t xml:space="preserve"> — includes one battery.</w:t>
      </w:r>
    </w:p>
    <w:p>
      <w:pPr>
        <w:pStyle w:val="ListBullet"/>
      </w:pPr>
      <w:r>
        <w:rPr>
          <w:b/>
          <w:i w:val="0"/>
        </w:rPr>
        <w:t>Dual-Battery Kit</w:t>
      </w:r>
      <w:r>
        <w:rPr>
          <w:b w:val="0"/>
          <w:i w:val="0"/>
        </w:rPr>
        <w:t xml:space="preserve"> — includes two batteries, allowing one battery to power the device while the other charges.</w:t>
      </w:r>
    </w:p>
    <w:p>
      <w:r>
        <w:rPr>
          <w:b w:val="0"/>
          <w:i w:val="0"/>
        </w:rPr>
        <w:t>Storage configuration and exact package contents are confirmed in the quotation and packing list for each order.</w:t>
      </w:r>
    </w:p>
    <w:p>
      <w:pPr>
        <w:pStyle w:val="Heading3"/>
      </w:pPr>
      <w:r>
        <w:t>2.2 Software</w:t>
      </w:r>
    </w:p>
    <w:p>
      <w:r>
        <w:rPr>
          <w:b w:val="0"/>
          <w:i w:val="0"/>
        </w:rPr>
        <w:t>The device is supplied with its Android-based operating system and the HMS system software, together with access to SiNGRAY G2 Configure for authorized administrators.</w:t>
      </w:r>
    </w:p>
    <w:p>
      <w:r>
        <w:rPr>
          <w:b w:val="0"/>
          <w:i w:val="0"/>
        </w:rPr>
        <w:t>Applications are not included as standard. They may be licensed from HMS software partners or developed by customers using the SiNGRAY Native SDK or the built-in OpenXR runtime. For HMS and ISV bundled offerings, please contact an authorized G2 distributor. The distributor's quotation will specify the software license, services, and support included in each offer.</w:t>
      </w:r>
    </w:p>
    <w:p>
      <w:pPr>
        <w:pStyle w:val="Heading3"/>
      </w:pPr>
      <w:r>
        <w:t>2.3 Developer support</w:t>
      </w:r>
    </w:p>
    <w:p>
      <w:r>
        <w:rPr>
          <w:b w:val="0"/>
          <w:i w:val="0"/>
        </w:rPr>
        <w:t>HMS offers optional developer support for teams building or migrating applications to SiNGRAY G2. The service provides project-specific technical assistance and access to relevant developer documentation.</w:t>
      </w:r>
    </w:p>
    <w:p>
      <w:r>
        <w:rPr>
          <w:b w:val="0"/>
          <w:i w:val="0"/>
        </w:rPr>
        <w:t>Developer support is offered separately from the hardware. Its scope and terms are confirmed with HMS or through the authorized distributor.</w:t>
      </w:r>
    </w:p>
    <w:p>
      <w:pPr>
        <w:pStyle w:val="Heading2"/>
      </w:pPr>
      <w:r>
        <w:t>3 G2 Launch 100 program</w:t>
      </w:r>
    </w:p>
    <w:p>
      <w:r>
        <w:rPr>
          <w:b w:val="0"/>
          <w:i w:val="0"/>
        </w:rPr>
        <w:t>The G2 Launch 100 program runs alongside the opening of orders. Existing customer relationships and procurement paths stay as they are, and the program adds no separate purchasing step.</w:t>
      </w:r>
    </w:p>
    <w:p>
      <w:pPr>
        <w:pStyle w:val="Heading3"/>
      </w:pPr>
      <w:r>
        <w:t>3.1 What it is</w:t>
      </w:r>
    </w:p>
    <w:p>
      <w:r>
        <w:rPr>
          <w:b w:val="0"/>
          <w:i w:val="0"/>
        </w:rPr>
        <w:t>The program connects participating early customers with HMS for operational feedback and product dialogue. Eligibility, allocation and registration details will be announced separately.</w:t>
      </w:r>
    </w:p>
    <w:p>
      <w:pPr>
        <w:pStyle w:val="Heading3"/>
      </w:pPr>
      <w:r>
        <w:t>3.2 What members receive</w:t>
      </w:r>
    </w:p>
    <w:p>
      <w:pPr>
        <w:pStyle w:val="ListBullet"/>
      </w:pPr>
      <w:r>
        <w:rPr>
          <w:b/>
          <w:i w:val="0"/>
        </w:rPr>
        <w:t xml:space="preserve">Priority allocation. </w:t>
      </w:r>
      <w:r>
        <w:rPr>
          <w:b w:val="0"/>
          <w:i w:val="0"/>
        </w:rPr>
        <w:t>Launch 100 orders receive priority within the initial production allocation.</w:t>
      </w:r>
    </w:p>
    <w:p>
      <w:pPr>
        <w:pStyle w:val="ListBullet"/>
      </w:pPr>
      <w:r>
        <w:rPr>
          <w:b/>
          <w:i w:val="0"/>
        </w:rPr>
        <w:t xml:space="preserve">A direct connection. </w:t>
      </w:r>
      <w:r>
        <w:rPr>
          <w:b w:val="0"/>
          <w:i w:val="0"/>
        </w:rPr>
        <w:t>A named HMS contact for ongoing program coordination, product feedback, and roadmap communication. Commercial matters and license support services continue through the authorized distributor under the applicable agreement.</w:t>
      </w:r>
    </w:p>
    <w:p>
      <w:pPr>
        <w:pStyle w:val="ListBullet"/>
      </w:pPr>
      <w:r>
        <w:rPr>
          <w:b/>
          <w:i w:val="0"/>
        </w:rPr>
        <w:t xml:space="preserve">Product advisory participation. </w:t>
      </w:r>
      <w:r>
        <w:rPr>
          <w:b w:val="0"/>
          <w:i w:val="0"/>
        </w:rPr>
        <w:t>Invitations to private product-advisory sessions with the HMS product team, where members can share operational requirements and provide input on the next-generation platform. Participation is optional and carries no obligation.</w:t>
      </w:r>
    </w:p>
    <w:p>
      <w:pPr>
        <w:pStyle w:val="Heading3"/>
      </w:pPr>
      <w:r>
        <w:t>3.3 Why it matters</w:t>
      </w:r>
    </w:p>
    <w:p>
      <w:r>
        <w:rPr>
          <w:b w:val="0"/>
          <w:i w:val="0"/>
        </w:rPr>
        <w:t>Industrial AR deployment requires long-term manufacturer engagement. Launch 100 gives customers a direct channel for product feedback, roadmap dialogue, and future platform planning.</w:t>
      </w:r>
    </w:p>
    <w:p>
      <w:r>
        <w:rPr>
          <w:b w:val="0"/>
          <w:i w:val="0"/>
        </w:rPr>
        <w:t>Participation criteria and registration details will be issued separately.</w:t>
      </w:r>
    </w:p>
    <w:p>
      <w:pPr>
        <w:pStyle w:val="Heading2"/>
      </w:pPr>
      <w:r>
        <w:t>4 About the SiNGRAY G2</w:t>
      </w:r>
    </w:p>
    <w:p>
      <w:pPr>
        <w:pStyle w:val="Heading3"/>
      </w:pPr>
      <w:r>
        <w:t>4.1 Product overview</w:t>
      </w:r>
    </w:p>
    <w:p>
      <w:pPr>
        <w:pStyle w:val="Heading4"/>
      </w:pPr>
      <w:r>
        <w:t>One line</w:t>
      </w:r>
    </w:p>
    <w:p>
      <w:r>
        <w:rPr>
          <w:b w:val="0"/>
          <w:i w:val="0"/>
        </w:rPr>
        <w:t>HMS SiNGRAY G2 — a standalone binocular optical see-through AR platform built for enterprise applications and deployment.</w:t>
      </w:r>
    </w:p>
    <w:p>
      <w:pPr>
        <w:pStyle w:val="Heading4"/>
      </w:pPr>
      <w:r>
        <w:t>Short description (about 60 words)</w:t>
      </w:r>
    </w:p>
    <w:p>
      <w:r>
        <w:rPr>
          <w:b w:val="0"/>
          <w:i w:val="0"/>
        </w:rPr>
        <w:t>SiNGRAY G2 is a standalone binocular optical see-through AR platform combining Micro-OLED optics, true 6DoF spatial tracking and on-device computing for enterprise applications. The device features IP65 protection and a hot-swappable battery for use in evaluated industrial workflows.</w:t>
      </w:r>
    </w:p>
    <w:p>
      <w:r>
        <w:rPr>
          <w:b w:val="0"/>
          <w:i w:val="0"/>
        </w:rPr>
        <w:t>SiNGRAY G2 is designed for remote assistance, guided work and inspection, immersive training and spatial visualization, and supports use cases across manufacturing, field service, energy, aerospace, defense and healthcare.</w:t>
      </w:r>
    </w:p>
    <w:p>
      <w:pPr>
        <w:pStyle w:val="Heading4"/>
      </w:pPr>
      <w:r>
        <w:t>Product description (about 130 words)</w:t>
      </w:r>
    </w:p>
    <w:p>
      <w:r>
        <w:rPr>
          <w:b w:val="0"/>
          <w:i w:val="0"/>
        </w:rPr>
        <w:t>SiNGRAY G2 brings digital information into the worker's direct view of the workplace. Its optical see-through design lets the wearer view the equipment directly, with instructions, 3D models and remote guidance overlaid in the workspace.</w:t>
      </w:r>
    </w:p>
    <w:p>
      <w:r>
        <w:rPr>
          <w:b w:val="0"/>
          <w:i w:val="0"/>
        </w:rPr>
        <w:t>Binocular Sony Micro-OLED displays at 90 Hz and a 51° diagonal field of view present text and 3D content clearly; 6DoF visual SLAM, quad fisheye cameras, ToF depth sensing and a 1000 Hz IMU support spatial alignment of digital content in compatible applications.</w:t>
      </w:r>
    </w:p>
    <w:p>
      <w:r>
        <w:rPr>
          <w:b w:val="0"/>
          <w:i w:val="0"/>
        </w:rPr>
        <w:t>A Qualcomm QCS8550 processor and an Intel Movidius Myriad X provide on-device computing resources for compatible applications without a host PC. The device features IP65 protection and a hot-swappable battery; backup power keeps it running during battery replacement according to the user manual.</w:t>
      </w:r>
    </w:p>
    <w:p>
      <w:pPr>
        <w:pStyle w:val="Heading3"/>
      </w:pPr>
      <w:r>
        <w:t>4.2 Why SiNGRAY G2</w:t>
      </w:r>
    </w:p>
    <w:p>
      <w:r>
        <w:rPr>
          <w:b w:val="0"/>
          <w:i w:val="0"/>
        </w:rPr>
        <w:t>Enterprise buyers apply a consistent set of requirements before deploying a device in mission-critical workflows. SiNGRAY G2 was designed around those requirements from the outset, rather than adapted to meet them later.</w:t>
      </w:r>
    </w:p>
    <w:p>
      <w:pPr>
        <w:pStyle w:val="Heading4"/>
      </w:pPr>
      <w:r>
        <w:t>Optical see-through</w:t>
      </w:r>
    </w:p>
    <w:p>
      <w:r>
        <w:rPr>
          <w:b w:val="0"/>
          <w:i w:val="0"/>
        </w:rPr>
        <w:t>The worker needs a direct, unmediated view of the equipment and their surroundings. Optical see-through provides a direct view of the equipment rather than a camera-mediated view. Digital overlays are rendered separately.</w:t>
      </w:r>
    </w:p>
    <w:p>
      <w:r>
        <w:rPr>
          <w:b w:val="0"/>
          <w:i w:val="0"/>
        </w:rPr>
        <w:t>Binocular optical see-through with birdbath optics and electrochromic glass allows the wearer to view the physical asset directly — not through a camera feed.</w:t>
      </w:r>
    </w:p>
    <w:p>
      <w:pPr>
        <w:pStyle w:val="Heading4"/>
      </w:pPr>
      <w:r>
        <w:t>True spatial capability</w:t>
      </w:r>
    </w:p>
    <w:p>
      <w:r>
        <w:rPr>
          <w:b w:val="0"/>
          <w:i w:val="0"/>
        </w:rPr>
        <w:t>Digital twin overlays, anchored instructions, and spatial collaboration require the device to continuously track its own position in the physical environment.</w:t>
      </w:r>
    </w:p>
    <w:p>
      <w:r>
        <w:rPr>
          <w:b w:val="0"/>
          <w:i w:val="0"/>
        </w:rPr>
        <w:t>6DoF visual SLAM with quad fisheye cameras, ToF depth sensing and a 1000 Hz IMU.</w:t>
      </w:r>
    </w:p>
    <w:p>
      <w:pPr>
        <w:pStyle w:val="Heading4"/>
      </w:pPr>
      <w:r>
        <w:t>Continuous operation</w:t>
      </w:r>
    </w:p>
    <w:p>
      <w:r>
        <w:rPr>
          <w:b w:val="0"/>
          <w:i w:val="0"/>
        </w:rPr>
        <w:t>Conventional charging takes the device out of service and interrupts the user's task.</w:t>
      </w:r>
    </w:p>
    <w:p>
      <w:r>
        <w:rPr>
          <w:b w:val="0"/>
          <w:i w:val="0"/>
        </w:rPr>
        <w:t>A hot-swappable battery with backup power keeps the device running while the battery pack is replaced.</w:t>
      </w:r>
    </w:p>
    <w:p>
      <w:pPr>
        <w:pStyle w:val="Heading4"/>
      </w:pPr>
      <w:r>
        <w:t>Industrial environment</w:t>
      </w:r>
    </w:p>
    <w:p>
      <w:r>
        <w:rPr>
          <w:b w:val="0"/>
          <w:i w:val="0"/>
        </w:rPr>
        <w:t>Industrial deployments require evaluation of the working environment, device fit and the intended application.</w:t>
      </w:r>
    </w:p>
    <w:p>
      <w:r>
        <w:rPr>
          <w:b w:val="0"/>
          <w:i w:val="0"/>
        </w:rPr>
        <w:t>IP65 protection, compatibility with prescription glasses and standalone operation. Site suitability and fit with required protective equipment should be checked during evaluation.</w:t>
      </w:r>
    </w:p>
    <w:p>
      <w:pPr>
        <w:pStyle w:val="Heading4"/>
      </w:pPr>
      <w:r>
        <w:t>On-device performance</w:t>
      </w:r>
    </w:p>
    <w:p>
      <w:r>
        <w:rPr>
          <w:b w:val="0"/>
          <w:i w:val="0"/>
        </w:rPr>
        <w:t>Compatible applications need to run on the headset without a tethered workstation; online features require connectivity.</w:t>
      </w:r>
    </w:p>
    <w:p>
      <w:r>
        <w:rPr>
          <w:b w:val="0"/>
          <w:i w:val="0"/>
        </w:rPr>
        <w:t>Qualcomm QCS8550 and Intel Movidius Myriad X, with 12 GB RAM and on-device application processing.</w:t>
      </w:r>
    </w:p>
    <w:p>
      <w:pPr>
        <w:pStyle w:val="Heading4"/>
      </w:pPr>
      <w:r>
        <w:t>Software migration</w:t>
      </w:r>
    </w:p>
    <w:p>
      <w:r>
        <w:rPr>
          <w:b w:val="0"/>
          <w:i w:val="0"/>
        </w:rPr>
        <w:t>Rebuilding applications for new hardware is the largest hidden cost of switching platforms.</w:t>
      </w:r>
    </w:p>
    <w:p>
      <w:r>
        <w:rPr>
          <w:b w:val="0"/>
          <w:i w:val="0"/>
        </w:rPr>
        <w:t>Android-based OS with OpenXR and Unity support provides a migration path. Each application requires compatibility review, adaptation where needed and testing on G2.</w:t>
      </w:r>
    </w:p>
    <w:p>
      <w:pPr>
        <w:pStyle w:val="Heading4"/>
      </w:pPr>
      <w:r>
        <w:t>Enterprise IT integration</w:t>
      </w:r>
    </w:p>
    <w:p>
      <w:r>
        <w:rPr>
          <w:b w:val="0"/>
          <w:i w:val="0"/>
        </w:rPr>
        <w:t>Devices must be enrolled, secured and updated at fleet scale — like any other managed endpoint.</w:t>
      </w:r>
    </w:p>
    <w:p>
      <w:r>
        <w:rPr>
          <w:b w:val="0"/>
          <w:i w:val="0"/>
        </w:rPr>
        <w:t>Android platform with MDM support, integration with enterprise device-management platforms, and SiNGRAY G2 Configure for administrators.</w:t>
      </w:r>
    </w:p>
    <w:p>
      <w:pPr>
        <w:pStyle w:val="Heading4"/>
      </w:pPr>
      <w:r>
        <w:t>Manufacturing continuity</w:t>
      </w:r>
    </w:p>
    <w:p>
      <w:r>
        <w:rPr>
          <w:b w:val="0"/>
          <w:i w:val="0"/>
        </w:rPr>
        <w:t>Procurement teams need confidence that the device will remain available and supported throughout the deployment lifecycle.</w:t>
      </w:r>
    </w:p>
    <w:p>
      <w:r>
        <w:rPr>
          <w:b w:val="0"/>
          <w:i w:val="0"/>
        </w:rPr>
        <w:t>Backed by seven years of volume production in Japan, five generations of AR hardware, and more than 32,000 edge AI camera units shipped.</w:t>
      </w:r>
    </w:p>
    <w:p>
      <w:pPr>
        <w:pStyle w:val="Heading3"/>
      </w:pPr>
      <w:r>
        <w:t>4.3 Positioning</w:t>
      </w:r>
    </w:p>
    <w:p>
      <w:r>
        <w:rPr>
          <w:b w:val="0"/>
          <w:i w:val="0"/>
        </w:rPr>
        <w:t>SiNGRAY G2 is positioned as a premium enterprise AR device — for enterprise and industrial customers who need professional-grade hardware, long-term support, software integration, and reliable deployment, not general consumers.</w:t>
      </w:r>
    </w:p>
    <w:p>
      <w:pPr>
        <w:pStyle w:val="Heading3"/>
      </w:pPr>
      <w:r>
        <w:t>4.4 Key features</w:t>
      </w:r>
    </w:p>
    <w:p>
      <w:r>
        <w:rPr>
          <w:b w:val="0"/>
          <w:i w:val="0"/>
          <w:color w:val="555555"/>
          <w:sz w:val="18"/>
        </w:rPr>
        <w:t>Each feature combines a specific capability, its practical use and the supporting specification.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3744"/>
        <w:gridCol w:w="3744"/>
      </w:tblGrid>
      <w:tr>
        <w:trPr>
          <w:cantSplit/>
          <w:tblHeader/>
        </w:trPr>
        <w:tc>
          <w:tcPr>
            <w:tcW w:type="dxa" w:w="2880"/>
            <w:vAlign w:val="center"/>
            <w:shd w:fill="DCEAF0"/>
          </w:tcPr>
          <w:p>
            <w:pPr>
              <w:spacing w:after="0" w:line="245" w:lineRule="auto"/>
            </w:pPr>
            <w:r>
              <w:rPr>
                <w:b/>
                <w:i w:val="0"/>
                <w:color w:val="000000"/>
                <w:sz w:val="18"/>
              </w:rPr>
              <w:t>Feature</w:t>
            </w:r>
          </w:p>
        </w:tc>
        <w:tc>
          <w:tcPr>
            <w:tcW w:type="dxa" w:w="3744"/>
            <w:vAlign w:val="center"/>
            <w:shd w:fill="DCEAF0"/>
          </w:tcPr>
          <w:p>
            <w:pPr>
              <w:spacing w:after="0" w:line="245" w:lineRule="auto"/>
            </w:pPr>
            <w:r>
              <w:rPr>
                <w:b/>
                <w:i w:val="0"/>
                <w:color w:val="000000"/>
                <w:sz w:val="18"/>
              </w:rPr>
              <w:t>Practical use</w:t>
            </w:r>
          </w:p>
        </w:tc>
        <w:tc>
          <w:tcPr>
            <w:tcW w:type="dxa" w:w="3744"/>
            <w:vAlign w:val="center"/>
            <w:shd w:fill="DCEAF0"/>
          </w:tcPr>
          <w:p>
            <w:pPr>
              <w:spacing w:after="0" w:line="245" w:lineRule="auto"/>
            </w:pPr>
            <w:r>
              <w:rPr>
                <w:b/>
                <w:i w:val="0"/>
                <w:color w:val="000000"/>
                <w:sz w:val="18"/>
              </w:rPr>
              <w:t>Supporting specification</w:t>
            </w:r>
          </w:p>
        </w:tc>
      </w:tr>
      <w:tr>
        <w:trPr>
          <w:cantSplit/>
        </w:trPr>
        <w:tc>
          <w:tcPr>
            <w:tcW w:type="dxa" w:w="2880"/>
            <w:vAlign w:val="center"/>
            <w:shd w:fill="FFFFFF"/>
          </w:tcPr>
          <w:p>
            <w:pPr>
              <w:spacing w:after="0" w:line="245" w:lineRule="auto"/>
            </w:pPr>
            <w:r>
              <w:rPr>
                <w:b w:val="0"/>
                <w:i w:val="0"/>
                <w:color w:val="000000"/>
                <w:sz w:val="18"/>
              </w:rPr>
              <w:t>Optical see-through</w:t>
            </w:r>
          </w:p>
        </w:tc>
        <w:tc>
          <w:tcPr>
            <w:tcW w:type="dxa" w:w="3744"/>
            <w:vAlign w:val="center"/>
            <w:shd w:fill="FFFFFF"/>
          </w:tcPr>
          <w:p>
            <w:pPr>
              <w:spacing w:after="0" w:line="245" w:lineRule="auto"/>
            </w:pPr>
            <w:r>
              <w:rPr>
                <w:b w:val="0"/>
                <w:i w:val="0"/>
                <w:color w:val="000000"/>
                <w:sz w:val="18"/>
              </w:rPr>
              <w:t>See the equipment directly through the optics, with instructions and 3D models overlaid in the workspace.</w:t>
            </w:r>
          </w:p>
        </w:tc>
        <w:tc>
          <w:tcPr>
            <w:tcW w:type="dxa" w:w="3744"/>
            <w:vAlign w:val="center"/>
            <w:shd w:fill="FFFFFF"/>
          </w:tcPr>
          <w:p>
            <w:pPr>
              <w:spacing w:after="0" w:line="245" w:lineRule="auto"/>
            </w:pPr>
            <w:r>
              <w:rPr>
                <w:b w:val="0"/>
                <w:i w:val="0"/>
                <w:color w:val="000000"/>
                <w:sz w:val="18"/>
              </w:rPr>
              <w:t>Binocular birdbath optics · electrochromic glass</w:t>
            </w:r>
          </w:p>
        </w:tc>
      </w:tr>
      <w:tr>
        <w:trPr>
          <w:cantSplit/>
        </w:trPr>
        <w:tc>
          <w:tcPr>
            <w:tcW w:type="dxa" w:w="2880"/>
            <w:vAlign w:val="center"/>
            <w:shd w:fill="F4F7F9"/>
          </w:tcPr>
          <w:p>
            <w:pPr>
              <w:spacing w:after="0" w:line="245" w:lineRule="auto"/>
            </w:pPr>
            <w:r>
              <w:rPr>
                <w:b w:val="0"/>
                <w:i w:val="0"/>
                <w:color w:val="000000"/>
                <w:sz w:val="18"/>
              </w:rPr>
              <w:t>1920 × 1200 per eye · 90 Hz</w:t>
            </w:r>
          </w:p>
        </w:tc>
        <w:tc>
          <w:tcPr>
            <w:tcW w:type="dxa" w:w="3744"/>
            <w:vAlign w:val="center"/>
            <w:shd w:fill="F4F7F9"/>
          </w:tcPr>
          <w:p>
            <w:pPr>
              <w:spacing w:after="0" w:line="245" w:lineRule="auto"/>
            </w:pPr>
            <w:r>
              <w:rPr>
                <w:b w:val="0"/>
                <w:i w:val="0"/>
                <w:color w:val="000000"/>
                <w:sz w:val="18"/>
              </w:rPr>
              <w:t>Read text, schematics and detailed 3D content on the binocular display.</w:t>
            </w:r>
          </w:p>
        </w:tc>
        <w:tc>
          <w:tcPr>
            <w:tcW w:type="dxa" w:w="3744"/>
            <w:vAlign w:val="center"/>
            <w:shd w:fill="F4F7F9"/>
          </w:tcPr>
          <w:p>
            <w:pPr>
              <w:spacing w:after="0" w:line="245" w:lineRule="auto"/>
            </w:pPr>
            <w:r>
              <w:rPr>
                <w:b w:val="0"/>
                <w:i w:val="0"/>
                <w:color w:val="000000"/>
                <w:sz w:val="18"/>
              </w:rPr>
              <w:t>Dual Sony Micro-OLED · 51° diagonal FOV · 44 PPD</w:t>
            </w:r>
          </w:p>
        </w:tc>
      </w:tr>
      <w:tr>
        <w:trPr>
          <w:cantSplit/>
        </w:trPr>
        <w:tc>
          <w:tcPr>
            <w:tcW w:type="dxa" w:w="2880"/>
            <w:vAlign w:val="center"/>
            <w:shd w:fill="FFFFFF"/>
          </w:tcPr>
          <w:p>
            <w:pPr>
              <w:spacing w:after="0" w:line="245" w:lineRule="auto"/>
            </w:pPr>
            <w:r>
              <w:rPr>
                <w:b w:val="0"/>
                <w:i w:val="0"/>
                <w:color w:val="000000"/>
                <w:sz w:val="18"/>
              </w:rPr>
              <w:t>6DoF spatial tracking</w:t>
            </w:r>
          </w:p>
        </w:tc>
        <w:tc>
          <w:tcPr>
            <w:tcW w:type="dxa" w:w="3744"/>
            <w:vAlign w:val="center"/>
            <w:shd w:fill="FFFFFF"/>
          </w:tcPr>
          <w:p>
            <w:pPr>
              <w:spacing w:after="0" w:line="245" w:lineRule="auto"/>
            </w:pPr>
            <w:r>
              <w:rPr>
                <w:b w:val="0"/>
                <w:i w:val="0"/>
                <w:color w:val="000000"/>
                <w:sz w:val="18"/>
              </w:rPr>
              <w:t>Support spatially anchored guidance as the wearer moves around the work area.</w:t>
            </w:r>
          </w:p>
        </w:tc>
        <w:tc>
          <w:tcPr>
            <w:tcW w:type="dxa" w:w="3744"/>
            <w:vAlign w:val="center"/>
            <w:shd w:fill="FFFFFF"/>
          </w:tcPr>
          <w:p>
            <w:pPr>
              <w:spacing w:after="0" w:line="245" w:lineRule="auto"/>
            </w:pPr>
            <w:r>
              <w:rPr>
                <w:b w:val="0"/>
                <w:i w:val="0"/>
                <w:color w:val="000000"/>
                <w:sz w:val="18"/>
              </w:rPr>
              <w:t>4 × 166° fisheye cameras · ToF 0.2–4 m · 1000 Hz IMU</w:t>
            </w:r>
          </w:p>
        </w:tc>
      </w:tr>
      <w:tr>
        <w:trPr>
          <w:cantSplit/>
        </w:trPr>
        <w:tc>
          <w:tcPr>
            <w:tcW w:type="dxa" w:w="2880"/>
            <w:vAlign w:val="center"/>
            <w:shd w:fill="F4F7F9"/>
          </w:tcPr>
          <w:p>
            <w:pPr>
              <w:spacing w:after="0" w:line="245" w:lineRule="auto"/>
            </w:pPr>
            <w:r>
              <w:rPr>
                <w:b w:val="0"/>
                <w:i w:val="0"/>
                <w:color w:val="000000"/>
                <w:sz w:val="18"/>
              </w:rPr>
              <w:t>Standalone computing</w:t>
            </w:r>
          </w:p>
        </w:tc>
        <w:tc>
          <w:tcPr>
            <w:tcW w:type="dxa" w:w="3744"/>
            <w:vAlign w:val="center"/>
            <w:shd w:fill="F4F7F9"/>
          </w:tcPr>
          <w:p>
            <w:pPr>
              <w:spacing w:after="0" w:line="245" w:lineRule="auto"/>
            </w:pPr>
            <w:r>
              <w:rPr>
                <w:b w:val="0"/>
                <w:i w:val="0"/>
                <w:color w:val="000000"/>
                <w:sz w:val="18"/>
              </w:rPr>
              <w:t>Compatible applications run on the headset without a tethered PC. Online features require connectivity.</w:t>
            </w:r>
          </w:p>
        </w:tc>
        <w:tc>
          <w:tcPr>
            <w:tcW w:type="dxa" w:w="3744"/>
            <w:vAlign w:val="center"/>
            <w:shd w:fill="F4F7F9"/>
          </w:tcPr>
          <w:p>
            <w:pPr>
              <w:spacing w:after="0" w:line="245" w:lineRule="auto"/>
            </w:pPr>
            <w:r>
              <w:rPr>
                <w:b w:val="0"/>
                <w:i w:val="0"/>
                <w:color w:val="000000"/>
                <w:sz w:val="18"/>
              </w:rPr>
              <w:t>Qualcomm QCS8550 + Intel Myriad X · 12 GB RAM · 128/256 GB</w:t>
            </w:r>
          </w:p>
        </w:tc>
      </w:tr>
      <w:tr>
        <w:trPr>
          <w:cantSplit/>
        </w:trPr>
        <w:tc>
          <w:tcPr>
            <w:tcW w:type="dxa" w:w="2880"/>
            <w:vAlign w:val="center"/>
            <w:shd w:fill="FFFFFF"/>
          </w:tcPr>
          <w:p>
            <w:pPr>
              <w:spacing w:after="0" w:line="245" w:lineRule="auto"/>
            </w:pPr>
            <w:r>
              <w:rPr>
                <w:b w:val="0"/>
                <w:i w:val="0"/>
                <w:color w:val="000000"/>
                <w:sz w:val="18"/>
              </w:rPr>
              <w:t>Hot-swappable battery</w:t>
            </w:r>
          </w:p>
        </w:tc>
        <w:tc>
          <w:tcPr>
            <w:tcW w:type="dxa" w:w="3744"/>
            <w:vAlign w:val="center"/>
            <w:shd w:fill="FFFFFF"/>
          </w:tcPr>
          <w:p>
            <w:pPr>
              <w:spacing w:after="0" w:line="245" w:lineRule="auto"/>
            </w:pPr>
            <w:r>
              <w:rPr>
                <w:b w:val="0"/>
                <w:i w:val="0"/>
                <w:color w:val="000000"/>
                <w:sz w:val="18"/>
              </w:rPr>
              <w:t>Replace the battery while backup power keeps the device running, following the user manual.</w:t>
            </w:r>
          </w:p>
        </w:tc>
        <w:tc>
          <w:tcPr>
            <w:tcW w:type="dxa" w:w="3744"/>
            <w:vAlign w:val="center"/>
            <w:shd w:fill="FFFFFF"/>
          </w:tcPr>
          <w:p>
            <w:pPr>
              <w:spacing w:after="0" w:line="245" w:lineRule="auto"/>
            </w:pPr>
            <w:r>
              <w:rPr>
                <w:b w:val="0"/>
                <w:i w:val="0"/>
                <w:color w:val="000000"/>
                <w:sz w:val="18"/>
              </w:rPr>
              <w:t>2500 mAh / 7.6 V · 19 Wh · Single- or Dual-Battery Kit</w:t>
            </w:r>
          </w:p>
        </w:tc>
      </w:tr>
      <w:tr>
        <w:trPr>
          <w:cantSplit/>
        </w:trPr>
        <w:tc>
          <w:tcPr>
            <w:tcW w:type="dxa" w:w="2880"/>
            <w:vAlign w:val="center"/>
            <w:shd w:fill="F4F7F9"/>
          </w:tcPr>
          <w:p>
            <w:pPr>
              <w:spacing w:after="0" w:line="245" w:lineRule="auto"/>
            </w:pPr>
            <w:r>
              <w:rPr>
                <w:b w:val="0"/>
                <w:i w:val="0"/>
                <w:color w:val="000000"/>
                <w:sz w:val="18"/>
              </w:rPr>
              <w:t>Industrial design · IP65</w:t>
            </w:r>
          </w:p>
        </w:tc>
        <w:tc>
          <w:tcPr>
            <w:tcW w:type="dxa" w:w="3744"/>
            <w:vAlign w:val="center"/>
            <w:shd w:fill="F4F7F9"/>
          </w:tcPr>
          <w:p>
            <w:pPr>
              <w:spacing w:after="0" w:line="245" w:lineRule="auto"/>
            </w:pPr>
            <w:r>
              <w:rPr>
                <w:b w:val="0"/>
                <w:i w:val="0"/>
                <w:color w:val="000000"/>
                <w:sz w:val="18"/>
              </w:rPr>
              <w:t>Evaluate G2 for the intended industrial environment and wear it with prescription glasses.</w:t>
            </w:r>
          </w:p>
        </w:tc>
        <w:tc>
          <w:tcPr>
            <w:tcW w:type="dxa" w:w="3744"/>
            <w:vAlign w:val="center"/>
            <w:shd w:fill="F4F7F9"/>
          </w:tcPr>
          <w:p>
            <w:pPr>
              <w:spacing w:after="0" w:line="245" w:lineRule="auto"/>
            </w:pPr>
            <w:r>
              <w:rPr>
                <w:b w:val="0"/>
                <w:i w:val="0"/>
                <w:color w:val="000000"/>
                <w:sz w:val="18"/>
              </w:rPr>
              <w:t>Head gaze · hand tracking · hardware buttons</w:t>
            </w:r>
          </w:p>
        </w:tc>
      </w:tr>
      <w:tr>
        <w:trPr>
          <w:cantSplit/>
        </w:trPr>
        <w:tc>
          <w:tcPr>
            <w:tcW w:type="dxa" w:w="2880"/>
            <w:vAlign w:val="center"/>
            <w:shd w:fill="FFFFFF"/>
          </w:tcPr>
          <w:p>
            <w:pPr>
              <w:spacing w:after="0" w:line="245" w:lineRule="auto"/>
            </w:pPr>
            <w:r>
              <w:rPr>
                <w:b w:val="0"/>
                <w:i w:val="0"/>
                <w:color w:val="000000"/>
                <w:sz w:val="18"/>
              </w:rPr>
              <w:t>51° diagonal field of view</w:t>
            </w:r>
          </w:p>
        </w:tc>
        <w:tc>
          <w:tcPr>
            <w:tcW w:type="dxa" w:w="3744"/>
            <w:vAlign w:val="center"/>
            <w:shd w:fill="FFFFFF"/>
          </w:tcPr>
          <w:p>
            <w:pPr>
              <w:spacing w:after="0" w:line="245" w:lineRule="auto"/>
            </w:pPr>
            <w:r>
              <w:rPr>
                <w:b w:val="0"/>
                <w:i w:val="0"/>
                <w:color w:val="000000"/>
                <w:sz w:val="18"/>
              </w:rPr>
              <w:t>View digital guidance within the working scene.</w:t>
            </w:r>
          </w:p>
        </w:tc>
        <w:tc>
          <w:tcPr>
            <w:tcW w:type="dxa" w:w="3744"/>
            <w:vAlign w:val="center"/>
            <w:shd w:fill="FFFFFF"/>
          </w:tcPr>
          <w:p>
            <w:pPr>
              <w:spacing w:after="0" w:line="245" w:lineRule="auto"/>
            </w:pPr>
            <w:r>
              <w:rPr>
                <w:b w:val="0"/>
                <w:i w:val="0"/>
                <w:color w:val="000000"/>
                <w:sz w:val="18"/>
              </w:rPr>
              <w:t>51° diagonal · 45° horizontal · 28° vertical</w:t>
            </w:r>
          </w:p>
        </w:tc>
      </w:tr>
      <w:tr>
        <w:trPr>
          <w:cantSplit/>
        </w:trPr>
        <w:tc>
          <w:tcPr>
            <w:tcW w:type="dxa" w:w="2880"/>
            <w:vAlign w:val="center"/>
            <w:shd w:fill="F4F7F9"/>
          </w:tcPr>
          <w:p>
            <w:pPr>
              <w:spacing w:after="0" w:line="245" w:lineRule="auto"/>
            </w:pPr>
            <w:r>
              <w:rPr>
                <w:b w:val="0"/>
                <w:i w:val="0"/>
                <w:color w:val="000000"/>
                <w:sz w:val="18"/>
              </w:rPr>
              <w:t>Electrochromic glass</w:t>
            </w:r>
          </w:p>
        </w:tc>
        <w:tc>
          <w:tcPr>
            <w:tcW w:type="dxa" w:w="3744"/>
            <w:vAlign w:val="center"/>
            <w:shd w:fill="F4F7F9"/>
          </w:tcPr>
          <w:p>
            <w:pPr>
              <w:spacing w:after="0" w:line="245" w:lineRule="auto"/>
            </w:pPr>
            <w:r>
              <w:rPr>
                <w:b w:val="0"/>
                <w:i w:val="0"/>
                <w:color w:val="000000"/>
                <w:sz w:val="18"/>
              </w:rPr>
              <w:t>Adjust transparency for the lighting at the intended site.</w:t>
            </w:r>
          </w:p>
        </w:tc>
        <w:tc>
          <w:tcPr>
            <w:tcW w:type="dxa" w:w="3744"/>
            <w:vAlign w:val="center"/>
            <w:shd w:fill="F4F7F9"/>
          </w:tcPr>
          <w:p>
            <w:pPr>
              <w:spacing w:after="0" w:line="245" w:lineRule="auto"/>
            </w:pPr>
            <w:r>
              <w:rPr>
                <w:b w:val="0"/>
                <w:i w:val="0"/>
                <w:color w:val="000000"/>
                <w:sz w:val="18"/>
              </w:rPr>
              <w:t>Evaluate display readability and tracking under site conditions.</w:t>
            </w:r>
          </w:p>
        </w:tc>
      </w:tr>
      <w:tr>
        <w:trPr>
          <w:cantSplit/>
        </w:trPr>
        <w:tc>
          <w:tcPr>
            <w:tcW w:type="dxa" w:w="2880"/>
            <w:vAlign w:val="center"/>
            <w:shd w:fill="FFFFFF"/>
          </w:tcPr>
          <w:p>
            <w:pPr>
              <w:spacing w:after="0" w:line="245" w:lineRule="auto"/>
            </w:pPr>
            <w:r>
              <w:rPr>
                <w:b w:val="0"/>
                <w:i w:val="0"/>
                <w:color w:val="000000"/>
                <w:sz w:val="18"/>
              </w:rPr>
              <w:t>Prescription glasses</w:t>
            </w:r>
          </w:p>
        </w:tc>
        <w:tc>
          <w:tcPr>
            <w:tcW w:type="dxa" w:w="3744"/>
            <w:vAlign w:val="center"/>
            <w:shd w:fill="FFFFFF"/>
          </w:tcPr>
          <w:p>
            <w:pPr>
              <w:spacing w:after="0" w:line="245" w:lineRule="auto"/>
            </w:pPr>
            <w:r>
              <w:rPr>
                <w:b w:val="0"/>
                <w:i w:val="0"/>
                <w:color w:val="000000"/>
                <w:sz w:val="18"/>
              </w:rPr>
              <w:t>Wear the headset with prescription glasses.</w:t>
            </w:r>
          </w:p>
        </w:tc>
        <w:tc>
          <w:tcPr>
            <w:tcW w:type="dxa" w:w="3744"/>
            <w:vAlign w:val="center"/>
            <w:shd w:fill="FFFFFF"/>
          </w:tcPr>
          <w:p>
            <w:pPr>
              <w:spacing w:after="0" w:line="245" w:lineRule="auto"/>
            </w:pPr>
            <w:r>
              <w:rPr>
                <w:b w:val="0"/>
                <w:i w:val="0"/>
                <w:color w:val="000000"/>
                <w:sz w:val="18"/>
              </w:rPr>
              <w:t>Evaluate fit with any required protective equipment.</w:t>
            </w:r>
          </w:p>
        </w:tc>
      </w:tr>
      <w:tr>
        <w:trPr>
          <w:cantSplit/>
        </w:trPr>
        <w:tc>
          <w:tcPr>
            <w:tcW w:type="dxa" w:w="2880"/>
            <w:vAlign w:val="center"/>
            <w:shd w:fill="F4F7F9"/>
          </w:tcPr>
          <w:p>
            <w:pPr>
              <w:spacing w:after="0" w:line="245" w:lineRule="auto"/>
            </w:pPr>
            <w:r>
              <w:rPr>
                <w:b w:val="0"/>
                <w:i w:val="0"/>
                <w:color w:val="000000"/>
                <w:sz w:val="18"/>
              </w:rPr>
              <w:t>Open development path</w:t>
            </w:r>
          </w:p>
        </w:tc>
        <w:tc>
          <w:tcPr>
            <w:tcW w:type="dxa" w:w="3744"/>
            <w:vAlign w:val="center"/>
            <w:shd w:fill="F4F7F9"/>
          </w:tcPr>
          <w:p>
            <w:pPr>
              <w:spacing w:after="0" w:line="245" w:lineRule="auto"/>
            </w:pPr>
            <w:r>
              <w:rPr>
                <w:b w:val="0"/>
                <w:i w:val="0"/>
                <w:color w:val="000000"/>
                <w:sz w:val="18"/>
              </w:rPr>
              <w:t>Assess and migrate compatible applications, then test them on G2.</w:t>
            </w:r>
          </w:p>
        </w:tc>
        <w:tc>
          <w:tcPr>
            <w:tcW w:type="dxa" w:w="3744"/>
            <w:vAlign w:val="center"/>
            <w:shd w:fill="F4F7F9"/>
          </w:tcPr>
          <w:p>
            <w:pPr>
              <w:spacing w:after="0" w:line="245" w:lineRule="auto"/>
            </w:pPr>
            <w:r>
              <w:rPr>
                <w:b w:val="0"/>
                <w:i w:val="0"/>
                <w:color w:val="000000"/>
                <w:sz w:val="18"/>
              </w:rPr>
              <w:t>OpenXR · Unity · SiNGRAY Native SDK; project requirements apply.</w:t>
            </w:r>
          </w:p>
        </w:tc>
      </w:tr>
    </w:tbl>
    <w:p>
      <w:pPr>
        <w:spacing w:after="20"/>
      </w:pPr>
    </w:p>
    <w:p>
      <w:pPr>
        <w:pStyle w:val="Heading3"/>
      </w:pPr>
      <w:r>
        <w:t>4.5 Use cases and industry focus</w:t>
      </w:r>
    </w:p>
    <w:p>
      <w:r>
        <w:rPr>
          <w:b w:val="0"/>
          <w:i w:val="0"/>
        </w:rPr>
        <w:t>G2 provides the hardware platform; the application selected by the customer defines the workflow and the available functionality. This section covers both the operational workflows supported by the device and the industries in which those workflows are deployed.</w:t>
      </w:r>
    </w:p>
    <w:p>
      <w:pPr>
        <w:pStyle w:val="Heading4"/>
      </w:pPr>
      <w:r>
        <w:t>4.5.1 Use cases</w:t>
      </w:r>
    </w:p>
    <w:p>
      <w:r>
        <w:rPr>
          <w:b w:val="0"/>
          <w:i w:val="0"/>
        </w:rPr>
        <w:t>SiNGRAY G2 deployments fall into four core workflow categories.</w:t>
      </w:r>
    </w:p>
    <w:p>
      <w:pPr>
        <w:pStyle w:val="Heading4"/>
      </w:pPr>
      <w:r>
        <w:t>Remote Assistance</w:t>
      </w:r>
    </w:p>
    <w:p>
      <w:r>
        <w:rPr>
          <w:b w:val="0"/>
          <w:i w:val="0"/>
        </w:rPr>
        <w:t>Field service · Maintenance · Energy and utilities · Defense sustainment</w:t>
      </w:r>
    </w:p>
    <w:p>
      <w:r>
        <w:rPr>
          <w:b w:val="0"/>
          <w:i w:val="0"/>
        </w:rPr>
        <w:t>When an on-site technician encounters a problem beyond the documented procedure, they can open a live session with a remote expert who sees the equipment from the technician's own point of view and places visual annotations directly within their field of view. This enables teams to diagnose and resolve issues during the same visit, without waiting for a specialist to travel to the site.</w:t>
      </w:r>
    </w:p>
    <w:p>
      <w:r>
        <w:rPr>
          <w:b w:val="0"/>
          <w:i w:val="0"/>
        </w:rPr>
        <w:t>What G2 contributes.  The 8 MP autofocus camera provides the technician's point of view, and the microphone carries their voice to the remote expert. Compatible applications use spatial tracking for anchored annotations and support hands-free interaction.</w:t>
      </w:r>
    </w:p>
    <w:p>
      <w:pPr>
        <w:pStyle w:val="Heading4"/>
      </w:pPr>
      <w:r>
        <w:t>Guided Work and Inspection</w:t>
      </w:r>
    </w:p>
    <w:p>
      <w:r>
        <w:rPr>
          <w:b w:val="0"/>
          <w:i w:val="0"/>
        </w:rPr>
        <w:t>Assembly · MRO · Quality assurance · Process plant · Warehouse and logistics</w:t>
      </w:r>
    </w:p>
    <w:p>
      <w:r>
        <w:rPr>
          <w:b w:val="0"/>
          <w:i w:val="0"/>
        </w:rPr>
        <w:t>A procedure previously held in paper manuals, PDFs or documented expert knowledge can be delivered step by step within the worker's field of view. These may include assembly sequences, maintenance routines, inspection checkpoints, parts identification and pick confirmation. Instructions appear in context at the relevant component, while evidence can be recorded against the work order as the operator proceeds.</w:t>
      </w:r>
    </w:p>
    <w:p>
      <w:r>
        <w:rPr>
          <w:b/>
          <w:i w:val="0"/>
        </w:rPr>
        <w:t xml:space="preserve">What G2 contributes. </w:t>
      </w:r>
      <w:r>
        <w:rPr>
          <w:b w:val="0"/>
          <w:i w:val="0"/>
        </w:rPr>
        <w:t>6DoF spatial tracking anchors instructions and checkpoints to the physical component. Operators can advance the sequence using supported hand tracking or physical buttons. Interaction should be evaluated with the protective equipment used at the site. The RGB camera captures evidence from the operator's own point of view. Compatible applications can run directly on the device. Remote assistance, cloud content and other online features require network access.</w:t>
      </w:r>
    </w:p>
    <w:p>
      <w:pPr>
        <w:pStyle w:val="Heading4"/>
      </w:pPr>
      <w:r>
        <w:t>Immersive Training and Demonstration</w:t>
      </w:r>
    </w:p>
    <w:p>
      <w:r>
        <w:rPr>
          <w:b w:val="0"/>
          <w:i w:val="0"/>
        </w:rPr>
        <w:t>Technical training · Safety procedures · Onboarding · Sales and customer demonstration</w:t>
      </w:r>
    </w:p>
    <w:p>
      <w:r>
        <w:rPr>
          <w:b w:val="0"/>
          <w:i w:val="0"/>
        </w:rPr>
        <w:t>New operators, service engineers and customers can become familiar with equipment before, or instead of, working on the live machine. Interactive instructions and 3D content can be overlaid on the physical equipment — or on an empty workspace when the equipment is not available. This allows teams to rehearse procedures, practice safety scenarios, and demonstrate products at customer sites and trade shows.</w:t>
      </w:r>
    </w:p>
    <w:p>
      <w:r>
        <w:rPr>
          <w:b/>
          <w:i w:val="0"/>
        </w:rPr>
        <w:t xml:space="preserve">What G2 contributes. </w:t>
      </w:r>
      <w:r>
        <w:rPr>
          <w:b w:val="0"/>
          <w:i w:val="0"/>
        </w:rPr>
        <w:t>The binocular display renders a spatial 3D model with natural depth and scale. Standalone operation allows sessions to take place beside the machine, in a training room, or at a customer site. The IP65-rated enclosure supports training on the production floor.</w:t>
      </w:r>
    </w:p>
    <w:p>
      <w:pPr>
        <w:pStyle w:val="Heading4"/>
      </w:pPr>
      <w:r>
        <w:t>Spatial Visualization and Digital Twin</w:t>
      </w:r>
    </w:p>
    <w:p>
      <w:r>
        <w:rPr>
          <w:b w:val="0"/>
          <w:i w:val="0"/>
        </w:rPr>
        <w:t>Engineering · Design review · Construction · Factory layout · Data centers</w:t>
      </w:r>
    </w:p>
    <w:p>
      <w:r>
        <w:rPr>
          <w:b w:val="0"/>
          <w:i w:val="0"/>
        </w:rPr>
        <w:t>Digital models — including machines, assemblies, buildings, and facility layouts — can be reviewed at full scale and aligned with the physical space they represent. Teams can walk around the content, compare as-designed with as-built conditions, plan installations before work begins, and visualize IoT or digital-twin data at its physical source.</w:t>
      </w:r>
    </w:p>
    <w:p>
      <w:r>
        <w:rPr>
          <w:b/>
          <w:i w:val="0"/>
        </w:rPr>
        <w:t xml:space="preserve">What G2 contributes. </w:t>
      </w:r>
      <w:r>
        <w:rPr>
          <w:b w:val="0"/>
          <w:i w:val="0"/>
        </w:rPr>
        <w:t>The device aligns digital content with the real environment and renders complex 3D models in real time. Compatible visualization applications run on the headset using its on-device computing resources, without a tethered workstation.</w:t>
      </w:r>
    </w:p>
    <w:p>
      <w:pPr>
        <w:pStyle w:val="Heading4"/>
      </w:pPr>
      <w:r>
        <w:t>4.5.2 Industry focus</w:t>
      </w:r>
    </w:p>
    <w:p>
      <w:r>
        <w:rPr>
          <w:b w:val="0"/>
          <w:i w:val="0"/>
        </w:rPr>
        <w:t>The same four workflows apply across industries, although priorities vary by sector. HMS focuses on three core verticals.</w:t>
      </w:r>
    </w:p>
    <w:p>
      <w:pPr>
        <w:pStyle w:val="Heading4"/>
      </w:pPr>
      <w:r>
        <w:t>Manufacturing and Industrial</w:t>
      </w:r>
    </w:p>
    <w:p>
      <w:pPr>
        <w:pStyle w:val="ListBullet"/>
      </w:pPr>
      <w:r>
        <w:rPr>
          <w:b/>
          <w:i w:val="0"/>
        </w:rPr>
        <w:t xml:space="preserve">Core need </w:t>
      </w:r>
      <w:r>
        <w:rPr>
          <w:b w:val="0"/>
          <w:i w:val="0"/>
        </w:rPr>
        <w:t>- Guide frontline workers through complex physical tasks.</w:t>
      </w:r>
    </w:p>
    <w:p>
      <w:pPr>
        <w:pStyle w:val="ListBullet"/>
      </w:pPr>
      <w:r>
        <w:rPr>
          <w:b/>
          <w:i w:val="0"/>
        </w:rPr>
        <w:t xml:space="preserve">Typical applications </w:t>
      </w:r>
      <w:r>
        <w:rPr>
          <w:b w:val="0"/>
          <w:i w:val="0"/>
        </w:rPr>
        <w:t>- Guided assembly and inspection; maintenance and remote support; warehouse and logistics guidance.</w:t>
      </w:r>
    </w:p>
    <w:p>
      <w:pPr>
        <w:pStyle w:val="ListBullet"/>
      </w:pPr>
      <w:r>
        <w:rPr>
          <w:b/>
          <w:i w:val="0"/>
        </w:rPr>
        <w:t xml:space="preserve">What matters in this sector </w:t>
      </w:r>
      <w:r>
        <w:rPr>
          <w:b w:val="0"/>
          <w:i w:val="0"/>
        </w:rPr>
        <w:t>- Ingress protection, fit with required protective equipment and battery replacement are key evaluation criteria.</w:t>
      </w:r>
    </w:p>
    <w:p>
      <w:pPr>
        <w:pStyle w:val="Heading4"/>
      </w:pPr>
      <w:r>
        <w:t>Defense and Aerospace</w:t>
      </w:r>
    </w:p>
    <w:p>
      <w:pPr>
        <w:pStyle w:val="ListBullet"/>
      </w:pPr>
      <w:r>
        <w:rPr>
          <w:b/>
          <w:i w:val="0"/>
        </w:rPr>
        <w:t xml:space="preserve">Core need </w:t>
      </w:r>
      <w:r>
        <w:rPr>
          <w:b w:val="0"/>
          <w:i w:val="0"/>
        </w:rPr>
        <w:t>- Improve personnel readiness and the readiness of mission-critical assets.</w:t>
      </w:r>
    </w:p>
    <w:p>
      <w:pPr>
        <w:pStyle w:val="ListBullet"/>
      </w:pPr>
      <w:r>
        <w:rPr>
          <w:b/>
          <w:i w:val="0"/>
        </w:rPr>
        <w:t xml:space="preserve">Typical applications </w:t>
      </w:r>
      <w:r>
        <w:rPr>
          <w:b w:val="0"/>
          <w:i w:val="0"/>
        </w:rPr>
        <w:t>- Maintenance and technical training; inspection and mission preparation; sustainment support.</w:t>
      </w:r>
    </w:p>
    <w:p>
      <w:pPr>
        <w:pStyle w:val="ListBullet"/>
      </w:pPr>
      <w:r>
        <w:rPr>
          <w:b/>
          <w:i w:val="0"/>
        </w:rPr>
        <w:t>What matters in this sector</w:t>
      </w:r>
      <w:r>
        <w:rPr>
          <w:b w:val="0"/>
          <w:i w:val="0"/>
        </w:rPr>
        <w:t xml:space="preserve"> - Country of origin and software provenance are frequently decisive in procurement. Manufacturing and country-of-origin information for a specific order is available from HMS.</w:t>
      </w:r>
    </w:p>
    <w:p>
      <w:pPr>
        <w:pStyle w:val="Heading4"/>
      </w:pPr>
      <w:r>
        <w:t>Medical and Healthcare</w:t>
      </w:r>
    </w:p>
    <w:p>
      <w:pPr>
        <w:pStyle w:val="ListBullet"/>
      </w:pPr>
      <w:r>
        <w:rPr>
          <w:b/>
          <w:i w:val="0"/>
        </w:rPr>
        <w:t xml:space="preserve">Core need </w:t>
      </w:r>
      <w:r>
        <w:rPr>
          <w:b w:val="0"/>
          <w:i w:val="0"/>
        </w:rPr>
        <w:t>- Make complex medical information spatial, accessible and intuitive.</w:t>
      </w:r>
    </w:p>
    <w:p>
      <w:pPr>
        <w:pStyle w:val="ListBullet"/>
      </w:pPr>
      <w:r>
        <w:rPr>
          <w:b/>
          <w:i w:val="0"/>
        </w:rPr>
        <w:t xml:space="preserve">Typical applications </w:t>
      </w:r>
      <w:r>
        <w:rPr>
          <w:b w:val="0"/>
          <w:i w:val="0"/>
        </w:rPr>
        <w:t>- Surgical planning and visualization; clinical training and collaboration.</w:t>
      </w:r>
    </w:p>
    <w:p>
      <w:pPr>
        <w:pStyle w:val="ListBullet"/>
      </w:pPr>
      <w:r>
        <w:rPr>
          <w:b/>
          <w:i w:val="0"/>
        </w:rPr>
        <w:t xml:space="preserve">What matters in this sector </w:t>
      </w:r>
      <w:r>
        <w:rPr>
          <w:b w:val="0"/>
          <w:i w:val="0"/>
        </w:rPr>
        <w:t>- G2 provides the display and spatial tracking platform. Application-specific validation and any required regulatory approval remain the responsibility of the medical software partner.</w:t>
      </w:r>
    </w:p>
    <w:p>
      <w:pPr>
        <w:pStyle w:val="Heading3"/>
      </w:pPr>
      <w:r>
        <w:t>4.6 Specifications</w:t>
      </w:r>
    </w:p>
    <w:p>
      <w:pPr>
        <w:pStyle w:val="Heading4"/>
      </w:pPr>
      <w:r>
        <w:t>Key specifications</w:t>
      </w:r>
    </w:p>
    <w:p>
      <w:r>
        <w:rPr>
          <w:b w:val="0"/>
          <w:i w:val="0"/>
        </w:rPr>
        <w:t>A concise specification set for product cards, catalog listings, and comparison tables.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i w:val="0"/>
                <w:color w:val="000000"/>
                <w:sz w:val="18"/>
              </w:rPr>
              <w:t>Specification</w:t>
            </w:r>
          </w:p>
        </w:tc>
        <w:tc>
          <w:tcPr>
            <w:tcW w:type="dxa" w:w="7488"/>
            <w:vAlign w:val="center"/>
            <w:shd w:fill="DCEAF0"/>
          </w:tcPr>
          <w:p>
            <w:pPr>
              <w:spacing w:after="0" w:line="245" w:lineRule="auto"/>
            </w:pPr>
            <w:r>
              <w:rPr>
                <w:b/>
                <w:i w:val="0"/>
                <w:color w:val="000000"/>
                <w:sz w:val="18"/>
              </w:rPr>
              <w:t>SiNGRAY G2</w:t>
            </w:r>
          </w:p>
        </w:tc>
      </w:tr>
      <w:tr>
        <w:trPr>
          <w:cantSplit/>
        </w:trPr>
        <w:tc>
          <w:tcPr>
            <w:tcW w:type="dxa" w:w="2880"/>
            <w:vAlign w:val="center"/>
            <w:shd w:fill="FFFFFF"/>
          </w:tcPr>
          <w:p>
            <w:pPr>
              <w:spacing w:after="0" w:line="245" w:lineRule="auto"/>
            </w:pPr>
            <w:r>
              <w:rPr>
                <w:b w:val="0"/>
                <w:i w:val="0"/>
                <w:color w:val="000000"/>
                <w:sz w:val="18"/>
              </w:rPr>
              <w:t>Product type</w:t>
            </w:r>
          </w:p>
        </w:tc>
        <w:tc>
          <w:tcPr>
            <w:tcW w:type="dxa" w:w="7488"/>
            <w:vAlign w:val="center"/>
            <w:shd w:fill="FFFFFF"/>
          </w:tcPr>
          <w:p>
            <w:pPr>
              <w:spacing w:after="0" w:line="245" w:lineRule="auto"/>
            </w:pPr>
            <w:r>
              <w:rPr>
                <w:b w:val="0"/>
                <w:i w:val="0"/>
                <w:color w:val="000000"/>
                <w:sz w:val="18"/>
              </w:rPr>
              <w:t>Standalone binocular optical see-through AR headset</w:t>
            </w:r>
          </w:p>
        </w:tc>
      </w:tr>
      <w:tr>
        <w:trPr>
          <w:cantSplit/>
        </w:trPr>
        <w:tc>
          <w:tcPr>
            <w:tcW w:type="dxa" w:w="2880"/>
            <w:vAlign w:val="center"/>
            <w:shd w:fill="F4F7F9"/>
          </w:tcPr>
          <w:p>
            <w:pPr>
              <w:spacing w:after="0" w:line="245" w:lineRule="auto"/>
            </w:pPr>
            <w:r>
              <w:rPr>
                <w:b w:val="0"/>
                <w:i w:val="0"/>
                <w:color w:val="000000"/>
                <w:sz w:val="18"/>
              </w:rPr>
              <w:t>Display</w:t>
            </w:r>
          </w:p>
        </w:tc>
        <w:tc>
          <w:tcPr>
            <w:tcW w:type="dxa" w:w="7488"/>
            <w:vAlign w:val="center"/>
            <w:shd w:fill="F4F7F9"/>
          </w:tcPr>
          <w:p>
            <w:pPr>
              <w:spacing w:after="0" w:line="245" w:lineRule="auto"/>
            </w:pPr>
            <w:r>
              <w:rPr>
                <w:b w:val="0"/>
                <w:i w:val="0"/>
                <w:color w:val="000000"/>
                <w:sz w:val="18"/>
              </w:rPr>
              <w:t>Sony Micro-OLED; 1920 × 1200 per eye; 90 Hz</w:t>
            </w:r>
          </w:p>
        </w:tc>
      </w:tr>
      <w:tr>
        <w:trPr>
          <w:cantSplit/>
        </w:trPr>
        <w:tc>
          <w:tcPr>
            <w:tcW w:type="dxa" w:w="2880"/>
            <w:vAlign w:val="center"/>
            <w:shd w:fill="FFFFFF"/>
          </w:tcPr>
          <w:p>
            <w:pPr>
              <w:spacing w:after="0" w:line="245" w:lineRule="auto"/>
            </w:pPr>
            <w:r>
              <w:rPr>
                <w:b w:val="0"/>
                <w:i w:val="0"/>
                <w:color w:val="000000"/>
                <w:sz w:val="18"/>
              </w:rPr>
              <w:t>Field of view</w:t>
            </w:r>
          </w:p>
        </w:tc>
        <w:tc>
          <w:tcPr>
            <w:tcW w:type="dxa" w:w="7488"/>
            <w:vAlign w:val="center"/>
            <w:shd w:fill="FFFFFF"/>
          </w:tcPr>
          <w:p>
            <w:pPr>
              <w:spacing w:after="0" w:line="245" w:lineRule="auto"/>
            </w:pPr>
            <w:r>
              <w:rPr>
                <w:b w:val="0"/>
                <w:i w:val="0"/>
                <w:color w:val="000000"/>
                <w:sz w:val="18"/>
              </w:rPr>
              <w:t>51° diagonal; 45° horizontal; 28° vertical</w:t>
            </w:r>
          </w:p>
        </w:tc>
      </w:tr>
      <w:tr>
        <w:trPr>
          <w:cantSplit/>
        </w:trPr>
        <w:tc>
          <w:tcPr>
            <w:tcW w:type="dxa" w:w="2880"/>
            <w:vAlign w:val="center"/>
            <w:shd w:fill="F4F7F9"/>
          </w:tcPr>
          <w:p>
            <w:pPr>
              <w:spacing w:after="0" w:line="245" w:lineRule="auto"/>
            </w:pPr>
            <w:r>
              <w:rPr>
                <w:b w:val="0"/>
                <w:i w:val="0"/>
                <w:color w:val="000000"/>
                <w:sz w:val="18"/>
              </w:rPr>
              <w:t>Processors</w:t>
            </w:r>
          </w:p>
        </w:tc>
        <w:tc>
          <w:tcPr>
            <w:tcW w:type="dxa" w:w="7488"/>
            <w:vAlign w:val="center"/>
            <w:shd w:fill="F4F7F9"/>
          </w:tcPr>
          <w:p>
            <w:pPr>
              <w:spacing w:after="0" w:line="245" w:lineRule="auto"/>
            </w:pPr>
            <w:r>
              <w:rPr>
                <w:b w:val="0"/>
                <w:i w:val="0"/>
                <w:color w:val="000000"/>
                <w:sz w:val="18"/>
              </w:rPr>
              <w:t>Qualcomm QCS8550; Intel Movidius Myriad X edge AI processor</w:t>
            </w:r>
          </w:p>
        </w:tc>
      </w:tr>
      <w:tr>
        <w:trPr>
          <w:cantSplit/>
        </w:trPr>
        <w:tc>
          <w:tcPr>
            <w:tcW w:type="dxa" w:w="2880"/>
            <w:vAlign w:val="center"/>
            <w:shd w:fill="FFFFFF"/>
          </w:tcPr>
          <w:p>
            <w:pPr>
              <w:spacing w:after="0" w:line="245" w:lineRule="auto"/>
            </w:pPr>
            <w:r>
              <w:rPr>
                <w:b w:val="0"/>
                <w:i w:val="0"/>
                <w:color w:val="000000"/>
                <w:sz w:val="18"/>
              </w:rPr>
              <w:t>Memory and storage</w:t>
            </w:r>
          </w:p>
        </w:tc>
        <w:tc>
          <w:tcPr>
            <w:tcW w:type="dxa" w:w="7488"/>
            <w:vAlign w:val="center"/>
            <w:shd w:fill="FFFFFF"/>
          </w:tcPr>
          <w:p>
            <w:pPr>
              <w:spacing w:after="0" w:line="245" w:lineRule="auto"/>
            </w:pPr>
            <w:r>
              <w:rPr>
                <w:b w:val="0"/>
                <w:i w:val="0"/>
                <w:color w:val="000000"/>
                <w:sz w:val="18"/>
              </w:rPr>
              <w:t>12 GB RAM; 128 GB or 256 GB, depending on configuration</w:t>
            </w:r>
          </w:p>
        </w:tc>
      </w:tr>
      <w:tr>
        <w:trPr>
          <w:cantSplit/>
        </w:trPr>
        <w:tc>
          <w:tcPr>
            <w:tcW w:type="dxa" w:w="2880"/>
            <w:vAlign w:val="center"/>
            <w:shd w:fill="F4F7F9"/>
          </w:tcPr>
          <w:p>
            <w:pPr>
              <w:spacing w:after="0" w:line="245" w:lineRule="auto"/>
            </w:pPr>
            <w:r>
              <w:rPr>
                <w:b w:val="0"/>
                <w:i w:val="0"/>
                <w:color w:val="000000"/>
                <w:sz w:val="18"/>
              </w:rPr>
              <w:t>Spatial tracking</w:t>
            </w:r>
          </w:p>
        </w:tc>
        <w:tc>
          <w:tcPr>
            <w:tcW w:type="dxa" w:w="7488"/>
            <w:vAlign w:val="center"/>
            <w:shd w:fill="F4F7F9"/>
          </w:tcPr>
          <w:p>
            <w:pPr>
              <w:spacing w:after="0" w:line="245" w:lineRule="auto"/>
            </w:pPr>
            <w:r>
              <w:rPr>
                <w:b w:val="0"/>
                <w:i w:val="0"/>
                <w:color w:val="000000"/>
                <w:sz w:val="18"/>
              </w:rPr>
              <w:t>6DoF visual SLAM; quad fisheye cameras; ToF depth; 9-axis IMU at 1000 Hz</w:t>
            </w:r>
          </w:p>
        </w:tc>
      </w:tr>
      <w:tr>
        <w:trPr>
          <w:cantSplit/>
        </w:trPr>
        <w:tc>
          <w:tcPr>
            <w:tcW w:type="dxa" w:w="2880"/>
            <w:vAlign w:val="center"/>
            <w:shd w:fill="FFFFFF"/>
          </w:tcPr>
          <w:p>
            <w:pPr>
              <w:spacing w:after="0" w:line="245" w:lineRule="auto"/>
            </w:pPr>
            <w:r>
              <w:rPr>
                <w:b w:val="0"/>
                <w:i w:val="0"/>
                <w:color w:val="000000"/>
                <w:sz w:val="18"/>
              </w:rPr>
              <w:t>Operating system</w:t>
            </w:r>
          </w:p>
        </w:tc>
        <w:tc>
          <w:tcPr>
            <w:tcW w:type="dxa" w:w="7488"/>
            <w:vAlign w:val="center"/>
            <w:shd w:fill="FFFFFF"/>
          </w:tcPr>
          <w:p>
            <w:pPr>
              <w:spacing w:after="0" w:line="245" w:lineRule="auto"/>
            </w:pPr>
            <w:r>
              <w:rPr>
                <w:b w:val="0"/>
                <w:i w:val="0"/>
                <w:color w:val="000000"/>
                <w:sz w:val="18"/>
              </w:rPr>
              <w:t>Android-based (Android 15 AOSP); MDM-ready</w:t>
            </w:r>
          </w:p>
        </w:tc>
      </w:tr>
      <w:tr>
        <w:trPr>
          <w:cantSplit/>
        </w:trPr>
        <w:tc>
          <w:tcPr>
            <w:tcW w:type="dxa" w:w="2880"/>
            <w:vAlign w:val="center"/>
            <w:shd w:fill="F4F7F9"/>
          </w:tcPr>
          <w:p>
            <w:pPr>
              <w:spacing w:after="0" w:line="245" w:lineRule="auto"/>
            </w:pPr>
            <w:r>
              <w:rPr>
                <w:b w:val="0"/>
                <w:i w:val="0"/>
                <w:color w:val="000000"/>
                <w:sz w:val="18"/>
              </w:rPr>
              <w:t>Development</w:t>
            </w:r>
          </w:p>
        </w:tc>
        <w:tc>
          <w:tcPr>
            <w:tcW w:type="dxa" w:w="7488"/>
            <w:vAlign w:val="center"/>
            <w:shd w:fill="F4F7F9"/>
          </w:tcPr>
          <w:p>
            <w:pPr>
              <w:spacing w:after="0" w:line="245" w:lineRule="auto"/>
            </w:pPr>
            <w:r>
              <w:rPr>
                <w:b w:val="0"/>
                <w:i w:val="0"/>
                <w:color w:val="000000"/>
                <w:sz w:val="18"/>
              </w:rPr>
              <w:t>OpenXR; Unity; SiNGRAY Native SDK</w:t>
            </w:r>
          </w:p>
        </w:tc>
      </w:tr>
      <w:tr>
        <w:trPr>
          <w:cantSplit/>
        </w:trPr>
        <w:tc>
          <w:tcPr>
            <w:tcW w:type="dxa" w:w="2880"/>
            <w:vAlign w:val="center"/>
            <w:shd w:fill="FFFFFF"/>
          </w:tcPr>
          <w:p>
            <w:pPr>
              <w:spacing w:after="0" w:line="245" w:lineRule="auto"/>
            </w:pPr>
            <w:r>
              <w:rPr>
                <w:b w:val="0"/>
                <w:i w:val="0"/>
                <w:color w:val="000000"/>
                <w:sz w:val="18"/>
              </w:rPr>
              <w:t>Battery</w:t>
            </w:r>
          </w:p>
        </w:tc>
        <w:tc>
          <w:tcPr>
            <w:tcW w:type="dxa" w:w="7488"/>
            <w:vAlign w:val="center"/>
            <w:shd w:fill="FFFFFF"/>
          </w:tcPr>
          <w:p>
            <w:pPr>
              <w:spacing w:after="0" w:line="245" w:lineRule="auto"/>
            </w:pPr>
            <w:r>
              <w:rPr>
                <w:b w:val="0"/>
                <w:i w:val="0"/>
                <w:color w:val="000000"/>
                <w:sz w:val="18"/>
              </w:rPr>
              <w:t>2500 mAh / 7.6 V (19 Wh); replaceable and hot-swappable</w:t>
            </w:r>
          </w:p>
        </w:tc>
      </w:tr>
      <w:tr>
        <w:trPr>
          <w:cantSplit/>
        </w:trPr>
        <w:tc>
          <w:tcPr>
            <w:tcW w:type="dxa" w:w="2880"/>
            <w:vAlign w:val="center"/>
            <w:shd w:fill="F4F7F9"/>
          </w:tcPr>
          <w:p>
            <w:pPr>
              <w:spacing w:after="0" w:line="245" w:lineRule="auto"/>
            </w:pPr>
            <w:r>
              <w:rPr>
                <w:b w:val="0"/>
                <w:i w:val="0"/>
                <w:color w:val="000000"/>
                <w:sz w:val="18"/>
              </w:rPr>
              <w:t>Ingress protection</w:t>
            </w:r>
          </w:p>
        </w:tc>
        <w:tc>
          <w:tcPr>
            <w:tcW w:type="dxa" w:w="7488"/>
            <w:vAlign w:val="center"/>
            <w:shd w:fill="F4F7F9"/>
          </w:tcPr>
          <w:p>
            <w:pPr>
              <w:spacing w:after="0" w:line="245" w:lineRule="auto"/>
            </w:pPr>
            <w:r>
              <w:rPr>
                <w:b w:val="0"/>
                <w:i w:val="0"/>
                <w:color w:val="000000"/>
                <w:sz w:val="18"/>
              </w:rPr>
              <w:t>IP65</w:t>
            </w:r>
          </w:p>
        </w:tc>
      </w:tr>
      <w:tr>
        <w:trPr>
          <w:cantSplit/>
        </w:trPr>
        <w:tc>
          <w:tcPr>
            <w:tcW w:type="dxa" w:w="2880"/>
            <w:vAlign w:val="center"/>
            <w:shd w:fill="FFFFFF"/>
          </w:tcPr>
          <w:p>
            <w:pPr>
              <w:spacing w:after="0" w:line="245" w:lineRule="auto"/>
            </w:pPr>
            <w:r>
              <w:rPr>
                <w:b w:val="0"/>
                <w:i w:val="0"/>
                <w:color w:val="000000"/>
                <w:sz w:val="18"/>
              </w:rPr>
              <w:t>Wearability</w:t>
            </w:r>
          </w:p>
        </w:tc>
        <w:tc>
          <w:tcPr>
            <w:tcW w:type="dxa" w:w="7488"/>
            <w:vAlign w:val="center"/>
            <w:shd w:fill="FFFFFF"/>
          </w:tcPr>
          <w:p>
            <w:pPr>
              <w:spacing w:after="0" w:line="245" w:lineRule="auto"/>
            </w:pPr>
            <w:r>
              <w:rPr>
                <w:b w:val="0"/>
                <w:i w:val="0"/>
                <w:color w:val="000000"/>
                <w:sz w:val="18"/>
              </w:rPr>
              <w:t>Compatible with prescription glasses; evaluate fit with required PPE</w:t>
            </w:r>
          </w:p>
        </w:tc>
      </w:tr>
      <w:tr>
        <w:trPr>
          <w:cantSplit/>
        </w:trPr>
        <w:tc>
          <w:tcPr>
            <w:tcW w:type="dxa" w:w="2880"/>
            <w:vAlign w:val="center"/>
            <w:shd w:fill="F4F7F9"/>
          </w:tcPr>
          <w:p>
            <w:pPr>
              <w:spacing w:after="0" w:line="245" w:lineRule="auto"/>
            </w:pPr>
            <w:r>
              <w:rPr>
                <w:b w:val="0"/>
                <w:i w:val="0"/>
                <w:color w:val="000000"/>
                <w:sz w:val="18"/>
              </w:rPr>
              <w:t>Connectivity</w:t>
            </w:r>
          </w:p>
        </w:tc>
        <w:tc>
          <w:tcPr>
            <w:tcW w:type="dxa" w:w="7488"/>
            <w:vAlign w:val="center"/>
            <w:shd w:fill="F4F7F9"/>
          </w:tcPr>
          <w:p>
            <w:pPr>
              <w:spacing w:after="0" w:line="245" w:lineRule="auto"/>
            </w:pPr>
            <w:r>
              <w:rPr>
                <w:b w:val="0"/>
                <w:i w:val="0"/>
                <w:color w:val="000000"/>
                <w:sz w:val="18"/>
              </w:rPr>
              <w:t>Wi-Fi 5; Bluetooth 5.4; USB Type-C</w:t>
            </w:r>
          </w:p>
        </w:tc>
      </w:tr>
    </w:tbl>
    <w:p>
      <w:pPr>
        <w:spacing w:after="20"/>
      </w:pPr>
    </w:p>
    <w:p>
      <w:pPr>
        <w:pStyle w:val="Heading4"/>
      </w:pPr>
      <w:r>
        <w:t>Full specification</w:t>
      </w:r>
    </w:p>
    <w:p>
      <w:r>
        <w:rPr>
          <w:b w:val="0"/>
          <w:i w:val="0"/>
        </w:rPr>
        <w:t>The complete specification set, organized by category. The key specifications above are drawn from this table.</w:t>
      </w:r>
    </w:p>
    <w:p>
      <w:pPr>
        <w:pStyle w:val="Heading4"/>
      </w:pPr>
      <w:r>
        <w:t>Display and optics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color w:val="000000"/>
                <w:sz w:val="18"/>
              </w:rPr>
              <w:t>Specification</w:t>
            </w:r>
          </w:p>
        </w:tc>
        <w:tc>
          <w:tcPr>
            <w:tcW w:type="dxa" w:w="7488"/>
            <w:vAlign w:val="center"/>
            <w:shd w:fill="DCEAF0"/>
          </w:tcPr>
          <w:p>
            <w:pPr>
              <w:spacing w:after="0" w:line="245" w:lineRule="auto"/>
            </w:pPr>
            <w:r>
              <w:rPr>
                <w:b/>
                <w:color w:val="000000"/>
                <w:sz w:val="18"/>
              </w:rPr>
              <w:t>SiNGRAY G2</w:t>
            </w:r>
          </w:p>
        </w:tc>
      </w:tr>
      <w:tr>
        <w:trPr>
          <w:cantSplit/>
        </w:trPr>
        <w:tc>
          <w:tcPr>
            <w:tcW w:type="dxa" w:w="2880"/>
            <w:vAlign w:val="center"/>
            <w:shd w:fill="FFFFFF"/>
          </w:tcPr>
          <w:p>
            <w:pPr>
              <w:spacing w:after="0" w:line="245" w:lineRule="auto"/>
            </w:pPr>
            <w:r>
              <w:rPr>
                <w:b w:val="0"/>
                <w:color w:val="000000"/>
                <w:sz w:val="18"/>
              </w:rPr>
              <w:t>Optical system</w:t>
            </w:r>
          </w:p>
        </w:tc>
        <w:tc>
          <w:tcPr>
            <w:tcW w:type="dxa" w:w="7488"/>
            <w:vAlign w:val="center"/>
            <w:shd w:fill="FFFFFF"/>
          </w:tcPr>
          <w:p>
            <w:pPr>
              <w:spacing w:after="0" w:line="245" w:lineRule="auto"/>
            </w:pPr>
            <w:r>
              <w:rPr>
                <w:b w:val="0"/>
                <w:color w:val="000000"/>
                <w:sz w:val="18"/>
              </w:rPr>
              <w:t>Binocular birdbath optical see-through</w:t>
            </w:r>
          </w:p>
        </w:tc>
      </w:tr>
      <w:tr>
        <w:trPr>
          <w:cantSplit/>
        </w:trPr>
        <w:tc>
          <w:tcPr>
            <w:tcW w:type="dxa" w:w="2880"/>
            <w:vAlign w:val="center"/>
            <w:shd w:fill="F4F7F9"/>
          </w:tcPr>
          <w:p>
            <w:pPr>
              <w:spacing w:after="0" w:line="245" w:lineRule="auto"/>
            </w:pPr>
            <w:r>
              <w:rPr>
                <w:b w:val="0"/>
                <w:color w:val="000000"/>
                <w:sz w:val="18"/>
              </w:rPr>
              <w:t>Display panels</w:t>
            </w:r>
          </w:p>
        </w:tc>
        <w:tc>
          <w:tcPr>
            <w:tcW w:type="dxa" w:w="7488"/>
            <w:vAlign w:val="center"/>
            <w:shd w:fill="F4F7F9"/>
          </w:tcPr>
          <w:p>
            <w:pPr>
              <w:spacing w:after="0" w:line="245" w:lineRule="auto"/>
            </w:pPr>
            <w:r>
              <w:rPr>
                <w:b w:val="0"/>
                <w:color w:val="000000"/>
                <w:sz w:val="18"/>
              </w:rPr>
              <w:t>Sony Micro-OLED; 1920 × 1200 per eye; 90 Hz</w:t>
            </w:r>
          </w:p>
        </w:tc>
      </w:tr>
      <w:tr>
        <w:trPr>
          <w:cantSplit/>
        </w:trPr>
        <w:tc>
          <w:tcPr>
            <w:tcW w:type="dxa" w:w="2880"/>
            <w:vAlign w:val="center"/>
            <w:shd w:fill="FFFFFF"/>
          </w:tcPr>
          <w:p>
            <w:pPr>
              <w:spacing w:after="0" w:line="245" w:lineRule="auto"/>
            </w:pPr>
            <w:r>
              <w:rPr>
                <w:b w:val="0"/>
                <w:color w:val="000000"/>
                <w:sz w:val="18"/>
              </w:rPr>
              <w:t>Field of view</w:t>
            </w:r>
          </w:p>
        </w:tc>
        <w:tc>
          <w:tcPr>
            <w:tcW w:type="dxa" w:w="7488"/>
            <w:vAlign w:val="center"/>
            <w:shd w:fill="FFFFFF"/>
          </w:tcPr>
          <w:p>
            <w:pPr>
              <w:spacing w:after="0" w:line="245" w:lineRule="auto"/>
            </w:pPr>
            <w:r>
              <w:rPr>
                <w:b w:val="0"/>
                <w:color w:val="000000"/>
                <w:sz w:val="18"/>
              </w:rPr>
              <w:t>Diagonal 51°; horizontal 45°; vertical 28°</w:t>
            </w:r>
          </w:p>
        </w:tc>
      </w:tr>
      <w:tr>
        <w:trPr>
          <w:cantSplit/>
        </w:trPr>
        <w:tc>
          <w:tcPr>
            <w:tcW w:type="dxa" w:w="2880"/>
            <w:vAlign w:val="center"/>
            <w:shd w:fill="F4F7F9"/>
          </w:tcPr>
          <w:p>
            <w:pPr>
              <w:spacing w:after="0" w:line="245" w:lineRule="auto"/>
            </w:pPr>
            <w:r>
              <w:rPr>
                <w:b w:val="0"/>
                <w:color w:val="000000"/>
                <w:sz w:val="18"/>
              </w:rPr>
              <w:t>Pixel density</w:t>
            </w:r>
          </w:p>
        </w:tc>
        <w:tc>
          <w:tcPr>
            <w:tcW w:type="dxa" w:w="7488"/>
            <w:vAlign w:val="center"/>
            <w:shd w:fill="F4F7F9"/>
          </w:tcPr>
          <w:p>
            <w:pPr>
              <w:spacing w:after="0" w:line="245" w:lineRule="auto"/>
            </w:pPr>
            <w:r>
              <w:rPr>
                <w:b w:val="0"/>
                <w:color w:val="000000"/>
                <w:sz w:val="18"/>
              </w:rPr>
              <w:t>44 PPD</w:t>
            </w:r>
          </w:p>
        </w:tc>
      </w:tr>
      <w:tr>
        <w:trPr>
          <w:cantSplit/>
        </w:trPr>
        <w:tc>
          <w:tcPr>
            <w:tcW w:type="dxa" w:w="2880"/>
            <w:vAlign w:val="center"/>
            <w:shd w:fill="FFFFFF"/>
          </w:tcPr>
          <w:p>
            <w:pPr>
              <w:spacing w:after="0" w:line="245" w:lineRule="auto"/>
            </w:pPr>
            <w:r>
              <w:rPr>
                <w:b w:val="0"/>
                <w:color w:val="000000"/>
                <w:sz w:val="18"/>
              </w:rPr>
              <w:t>Dynamic distortion</w:t>
            </w:r>
          </w:p>
        </w:tc>
        <w:tc>
          <w:tcPr>
            <w:tcW w:type="dxa" w:w="7488"/>
            <w:vAlign w:val="center"/>
            <w:shd w:fill="FFFFFF"/>
          </w:tcPr>
          <w:p>
            <w:pPr>
              <w:spacing w:after="0" w:line="245" w:lineRule="auto"/>
            </w:pPr>
            <w:r>
              <w:rPr>
                <w:b w:val="0"/>
                <w:color w:val="000000"/>
                <w:sz w:val="18"/>
              </w:rPr>
              <w:t>&lt; 1.5 %</w:t>
            </w:r>
          </w:p>
        </w:tc>
      </w:tr>
      <w:tr>
        <w:trPr>
          <w:cantSplit/>
        </w:trPr>
        <w:tc>
          <w:tcPr>
            <w:tcW w:type="dxa" w:w="2880"/>
            <w:vAlign w:val="center"/>
            <w:shd w:fill="F4F7F9"/>
          </w:tcPr>
          <w:p>
            <w:pPr>
              <w:spacing w:after="0" w:line="245" w:lineRule="auto"/>
            </w:pPr>
            <w:r>
              <w:rPr>
                <w:b w:val="0"/>
                <w:color w:val="000000"/>
                <w:sz w:val="18"/>
              </w:rPr>
              <w:t>Light adjustment</w:t>
            </w:r>
          </w:p>
        </w:tc>
        <w:tc>
          <w:tcPr>
            <w:tcW w:type="dxa" w:w="7488"/>
            <w:vAlign w:val="center"/>
            <w:shd w:fill="F4F7F9"/>
          </w:tcPr>
          <w:p>
            <w:pPr>
              <w:spacing w:after="0" w:line="245" w:lineRule="auto"/>
            </w:pPr>
            <w:r>
              <w:rPr>
                <w:b w:val="0"/>
                <w:color w:val="000000"/>
                <w:sz w:val="18"/>
              </w:rPr>
              <w:t>Electrochromic glass with adjustable transparency</w:t>
            </w:r>
          </w:p>
        </w:tc>
      </w:tr>
      <w:tr>
        <w:trPr>
          <w:cantSplit/>
        </w:trPr>
        <w:tc>
          <w:tcPr>
            <w:tcW w:type="dxa" w:w="2880"/>
            <w:vAlign w:val="center"/>
            <w:shd w:fill="FFFFFF"/>
          </w:tcPr>
          <w:p>
            <w:pPr>
              <w:spacing w:after="0" w:line="245" w:lineRule="auto"/>
            </w:pPr>
            <w:r>
              <w:rPr>
                <w:b w:val="0"/>
                <w:color w:val="000000"/>
                <w:sz w:val="18"/>
              </w:rPr>
              <w:t>Eye box and IPD</w:t>
            </w:r>
          </w:p>
        </w:tc>
        <w:tc>
          <w:tcPr>
            <w:tcW w:type="dxa" w:w="7488"/>
            <w:vAlign w:val="center"/>
            <w:shd w:fill="FFFFFF"/>
          </w:tcPr>
          <w:p>
            <w:pPr>
              <w:spacing w:after="0" w:line="245" w:lineRule="auto"/>
            </w:pPr>
            <w:r>
              <w:rPr>
                <w:b w:val="0"/>
                <w:color w:val="000000"/>
                <w:sz w:val="18"/>
              </w:rPr>
              <w:t>12 × 8 mm eye box; 63 mm IPD</w:t>
            </w:r>
          </w:p>
        </w:tc>
      </w:tr>
    </w:tbl>
    <w:p>
      <w:pPr>
        <w:spacing w:after="20"/>
      </w:pPr>
    </w:p>
    <w:p>
      <w:pPr>
        <w:pStyle w:val="Heading4"/>
      </w:pPr>
      <w:r>
        <w:t>Computing and sensing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color w:val="000000"/>
                <w:sz w:val="18"/>
              </w:rPr>
              <w:t>Specification</w:t>
            </w:r>
          </w:p>
        </w:tc>
        <w:tc>
          <w:tcPr>
            <w:tcW w:type="dxa" w:w="7488"/>
            <w:vAlign w:val="center"/>
            <w:shd w:fill="DCEAF0"/>
          </w:tcPr>
          <w:p>
            <w:pPr>
              <w:spacing w:after="0" w:line="245" w:lineRule="auto"/>
            </w:pPr>
            <w:r>
              <w:rPr>
                <w:b/>
                <w:color w:val="000000"/>
                <w:sz w:val="18"/>
              </w:rPr>
              <w:t>SiNGRAY G2</w:t>
            </w:r>
          </w:p>
        </w:tc>
      </w:tr>
      <w:tr>
        <w:trPr>
          <w:cantSplit/>
        </w:trPr>
        <w:tc>
          <w:tcPr>
            <w:tcW w:type="dxa" w:w="2880"/>
            <w:vAlign w:val="center"/>
            <w:shd w:fill="FFFFFF"/>
          </w:tcPr>
          <w:p>
            <w:pPr>
              <w:spacing w:after="0" w:line="245" w:lineRule="auto"/>
            </w:pPr>
            <w:r>
              <w:rPr>
                <w:b w:val="0"/>
                <w:color w:val="000000"/>
                <w:sz w:val="18"/>
              </w:rPr>
              <w:t>CPU</w:t>
            </w:r>
          </w:p>
        </w:tc>
        <w:tc>
          <w:tcPr>
            <w:tcW w:type="dxa" w:w="7488"/>
            <w:vAlign w:val="center"/>
            <w:shd w:fill="FFFFFF"/>
          </w:tcPr>
          <w:p>
            <w:pPr>
              <w:spacing w:after="0" w:line="245" w:lineRule="auto"/>
            </w:pPr>
            <w:r>
              <w:rPr>
                <w:b w:val="0"/>
                <w:color w:val="000000"/>
                <w:sz w:val="18"/>
              </w:rPr>
              <w:t>Qualcomm QCS8550</w:t>
            </w:r>
          </w:p>
        </w:tc>
      </w:tr>
      <w:tr>
        <w:trPr>
          <w:cantSplit/>
        </w:trPr>
        <w:tc>
          <w:tcPr>
            <w:tcW w:type="dxa" w:w="2880"/>
            <w:vAlign w:val="center"/>
            <w:shd w:fill="F4F7F9"/>
          </w:tcPr>
          <w:p>
            <w:pPr>
              <w:spacing w:after="0" w:line="245" w:lineRule="auto"/>
            </w:pPr>
            <w:r>
              <w:rPr>
                <w:b w:val="0"/>
                <w:color w:val="000000"/>
                <w:sz w:val="18"/>
              </w:rPr>
              <w:t>Edge AI processor</w:t>
            </w:r>
          </w:p>
        </w:tc>
        <w:tc>
          <w:tcPr>
            <w:tcW w:type="dxa" w:w="7488"/>
            <w:vAlign w:val="center"/>
            <w:shd w:fill="F4F7F9"/>
          </w:tcPr>
          <w:p>
            <w:pPr>
              <w:spacing w:after="0" w:line="245" w:lineRule="auto"/>
            </w:pPr>
            <w:r>
              <w:rPr>
                <w:b w:val="0"/>
                <w:color w:val="000000"/>
                <w:sz w:val="18"/>
              </w:rPr>
              <w:t>Intel Movidius Myriad X</w:t>
            </w:r>
          </w:p>
        </w:tc>
      </w:tr>
      <w:tr>
        <w:trPr>
          <w:cantSplit/>
        </w:trPr>
        <w:tc>
          <w:tcPr>
            <w:tcW w:type="dxa" w:w="2880"/>
            <w:vAlign w:val="center"/>
            <w:shd w:fill="FFFFFF"/>
          </w:tcPr>
          <w:p>
            <w:pPr>
              <w:spacing w:after="0" w:line="245" w:lineRule="auto"/>
            </w:pPr>
            <w:r>
              <w:rPr>
                <w:b w:val="0"/>
                <w:color w:val="000000"/>
                <w:sz w:val="18"/>
              </w:rPr>
              <w:t>Memory</w:t>
            </w:r>
          </w:p>
        </w:tc>
        <w:tc>
          <w:tcPr>
            <w:tcW w:type="dxa" w:w="7488"/>
            <w:vAlign w:val="center"/>
            <w:shd w:fill="FFFFFF"/>
          </w:tcPr>
          <w:p>
            <w:pPr>
              <w:spacing w:after="0" w:line="245" w:lineRule="auto"/>
            </w:pPr>
            <w:r>
              <w:rPr>
                <w:b w:val="0"/>
                <w:color w:val="000000"/>
                <w:sz w:val="18"/>
              </w:rPr>
              <w:t>12 GB RAM</w:t>
            </w:r>
          </w:p>
        </w:tc>
      </w:tr>
      <w:tr>
        <w:trPr>
          <w:cantSplit/>
        </w:trPr>
        <w:tc>
          <w:tcPr>
            <w:tcW w:type="dxa" w:w="2880"/>
            <w:vAlign w:val="center"/>
            <w:shd w:fill="F4F7F9"/>
          </w:tcPr>
          <w:p>
            <w:pPr>
              <w:spacing w:after="0" w:line="245" w:lineRule="auto"/>
            </w:pPr>
            <w:r>
              <w:rPr>
                <w:b w:val="0"/>
                <w:color w:val="000000"/>
                <w:sz w:val="18"/>
              </w:rPr>
              <w:t>Storage</w:t>
            </w:r>
          </w:p>
        </w:tc>
        <w:tc>
          <w:tcPr>
            <w:tcW w:type="dxa" w:w="7488"/>
            <w:vAlign w:val="center"/>
            <w:shd w:fill="F4F7F9"/>
          </w:tcPr>
          <w:p>
            <w:pPr>
              <w:spacing w:after="0" w:line="245" w:lineRule="auto"/>
            </w:pPr>
            <w:r>
              <w:rPr>
                <w:b w:val="0"/>
                <w:color w:val="000000"/>
                <w:sz w:val="18"/>
              </w:rPr>
              <w:t>128 GB or 256 GB; microSD expansion up to 2 TB</w:t>
            </w:r>
          </w:p>
        </w:tc>
      </w:tr>
      <w:tr>
        <w:trPr>
          <w:cantSplit/>
        </w:trPr>
        <w:tc>
          <w:tcPr>
            <w:tcW w:type="dxa" w:w="2880"/>
            <w:vAlign w:val="center"/>
            <w:shd w:fill="FFFFFF"/>
          </w:tcPr>
          <w:p>
            <w:pPr>
              <w:spacing w:after="0" w:line="245" w:lineRule="auto"/>
            </w:pPr>
            <w:r>
              <w:rPr>
                <w:b w:val="0"/>
                <w:color w:val="000000"/>
                <w:sz w:val="18"/>
              </w:rPr>
              <w:t>Tracking cameras</w:t>
            </w:r>
          </w:p>
        </w:tc>
        <w:tc>
          <w:tcPr>
            <w:tcW w:type="dxa" w:w="7488"/>
            <w:vAlign w:val="center"/>
            <w:shd w:fill="FFFFFF"/>
          </w:tcPr>
          <w:p>
            <w:pPr>
              <w:spacing w:after="0" w:line="245" w:lineRule="auto"/>
            </w:pPr>
            <w:r>
              <w:rPr>
                <w:b w:val="0"/>
                <w:color w:val="000000"/>
                <w:sz w:val="18"/>
              </w:rPr>
              <w:t>Four fisheye cameras; 640 × 480 at 50 fps; 166° diagonal FOV</w:t>
            </w:r>
          </w:p>
        </w:tc>
      </w:tr>
      <w:tr>
        <w:trPr>
          <w:cantSplit/>
        </w:trPr>
        <w:tc>
          <w:tcPr>
            <w:tcW w:type="dxa" w:w="2880"/>
            <w:vAlign w:val="center"/>
            <w:shd w:fill="F4F7F9"/>
          </w:tcPr>
          <w:p>
            <w:pPr>
              <w:spacing w:after="0" w:line="245" w:lineRule="auto"/>
            </w:pPr>
            <w:r>
              <w:rPr>
                <w:b w:val="0"/>
                <w:color w:val="000000"/>
                <w:sz w:val="18"/>
              </w:rPr>
              <w:t>RGB camera</w:t>
            </w:r>
          </w:p>
        </w:tc>
        <w:tc>
          <w:tcPr>
            <w:tcW w:type="dxa" w:w="7488"/>
            <w:vAlign w:val="center"/>
            <w:shd w:fill="F4F7F9"/>
          </w:tcPr>
          <w:p>
            <w:pPr>
              <w:spacing w:after="0" w:line="245" w:lineRule="auto"/>
            </w:pPr>
            <w:r>
              <w:rPr>
                <w:b w:val="0"/>
                <w:color w:val="000000"/>
                <w:sz w:val="18"/>
              </w:rPr>
              <w:t>Autofocus; 8 MP; 79° diagonal FOV</w:t>
            </w:r>
          </w:p>
        </w:tc>
      </w:tr>
      <w:tr>
        <w:trPr>
          <w:cantSplit/>
        </w:trPr>
        <w:tc>
          <w:tcPr>
            <w:tcW w:type="dxa" w:w="2880"/>
            <w:vAlign w:val="center"/>
            <w:shd w:fill="FFFFFF"/>
          </w:tcPr>
          <w:p>
            <w:pPr>
              <w:spacing w:after="0" w:line="245" w:lineRule="auto"/>
            </w:pPr>
            <w:r>
              <w:rPr>
                <w:b w:val="0"/>
                <w:color w:val="000000"/>
                <w:sz w:val="18"/>
              </w:rPr>
              <w:t>Depth camera</w:t>
            </w:r>
          </w:p>
        </w:tc>
        <w:tc>
          <w:tcPr>
            <w:tcW w:type="dxa" w:w="7488"/>
            <w:vAlign w:val="center"/>
            <w:shd w:fill="FFFFFF"/>
          </w:tcPr>
          <w:p>
            <w:pPr>
              <w:spacing w:after="0" w:line="245" w:lineRule="auto"/>
            </w:pPr>
            <w:r>
              <w:rPr>
                <w:b w:val="0"/>
                <w:color w:val="000000"/>
                <w:sz w:val="18"/>
              </w:rPr>
              <w:t>ToF; VGA/QVGA at 30 fps; 0.2–4 m range</w:t>
            </w:r>
          </w:p>
        </w:tc>
      </w:tr>
      <w:tr>
        <w:trPr>
          <w:cantSplit/>
        </w:trPr>
        <w:tc>
          <w:tcPr>
            <w:tcW w:type="dxa" w:w="2880"/>
            <w:vAlign w:val="center"/>
            <w:shd w:fill="F4F7F9"/>
          </w:tcPr>
          <w:p>
            <w:pPr>
              <w:spacing w:after="0" w:line="245" w:lineRule="auto"/>
            </w:pPr>
            <w:r>
              <w:rPr>
                <w:b w:val="0"/>
                <w:color w:val="000000"/>
                <w:sz w:val="18"/>
              </w:rPr>
              <w:t>IMU</w:t>
            </w:r>
          </w:p>
        </w:tc>
        <w:tc>
          <w:tcPr>
            <w:tcW w:type="dxa" w:w="7488"/>
            <w:vAlign w:val="center"/>
            <w:shd w:fill="F4F7F9"/>
          </w:tcPr>
          <w:p>
            <w:pPr>
              <w:spacing w:after="0" w:line="245" w:lineRule="auto"/>
            </w:pPr>
            <w:r>
              <w:rPr>
                <w:b w:val="0"/>
                <w:color w:val="000000"/>
                <w:sz w:val="18"/>
              </w:rPr>
              <w:t>9-axis; 1000 Hz</w:t>
            </w:r>
          </w:p>
        </w:tc>
      </w:tr>
      <w:tr>
        <w:trPr>
          <w:cantSplit/>
        </w:trPr>
        <w:tc>
          <w:tcPr>
            <w:tcW w:type="dxa" w:w="2880"/>
            <w:vAlign w:val="center"/>
            <w:shd w:fill="FFFFFF"/>
          </w:tcPr>
          <w:p>
            <w:pPr>
              <w:spacing w:after="0" w:line="245" w:lineRule="auto"/>
            </w:pPr>
            <w:r>
              <w:rPr>
                <w:b w:val="0"/>
                <w:color w:val="000000"/>
                <w:sz w:val="18"/>
              </w:rPr>
              <w:t>SLAM engine</w:t>
            </w:r>
          </w:p>
        </w:tc>
        <w:tc>
          <w:tcPr>
            <w:tcW w:type="dxa" w:w="7488"/>
            <w:vAlign w:val="center"/>
            <w:shd w:fill="FFFFFF"/>
          </w:tcPr>
          <w:p>
            <w:pPr>
              <w:spacing w:after="0" w:line="245" w:lineRule="auto"/>
            </w:pPr>
            <w:r>
              <w:rPr>
                <w:b w:val="0"/>
                <w:color w:val="000000"/>
                <w:sz w:val="18"/>
              </w:rPr>
              <w:t>6DoF visual SLAM</w:t>
            </w:r>
          </w:p>
        </w:tc>
      </w:tr>
    </w:tbl>
    <w:p>
      <w:pPr>
        <w:spacing w:after="20"/>
      </w:pPr>
    </w:p>
    <w:p>
      <w:pPr>
        <w:pStyle w:val="Heading4"/>
      </w:pPr>
      <w:r>
        <w:t>Hardware and connectivity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color w:val="000000"/>
                <w:sz w:val="18"/>
              </w:rPr>
              <w:t>Specification</w:t>
            </w:r>
          </w:p>
        </w:tc>
        <w:tc>
          <w:tcPr>
            <w:tcW w:type="dxa" w:w="7488"/>
            <w:vAlign w:val="center"/>
            <w:shd w:fill="DCEAF0"/>
          </w:tcPr>
          <w:p>
            <w:pPr>
              <w:spacing w:after="0" w:line="245" w:lineRule="auto"/>
            </w:pPr>
            <w:r>
              <w:rPr>
                <w:b/>
                <w:color w:val="000000"/>
                <w:sz w:val="18"/>
              </w:rPr>
              <w:t>SiNGRAY G2</w:t>
            </w:r>
          </w:p>
        </w:tc>
      </w:tr>
      <w:tr>
        <w:trPr>
          <w:cantSplit/>
        </w:trPr>
        <w:tc>
          <w:tcPr>
            <w:tcW w:type="dxa" w:w="2880"/>
            <w:vAlign w:val="center"/>
            <w:shd w:fill="FFFFFF"/>
          </w:tcPr>
          <w:p>
            <w:pPr>
              <w:spacing w:after="0" w:line="245" w:lineRule="auto"/>
            </w:pPr>
            <w:r>
              <w:rPr>
                <w:b w:val="0"/>
                <w:color w:val="000000"/>
                <w:sz w:val="18"/>
              </w:rPr>
              <w:t>Battery</w:t>
            </w:r>
          </w:p>
        </w:tc>
        <w:tc>
          <w:tcPr>
            <w:tcW w:type="dxa" w:w="7488"/>
            <w:vAlign w:val="center"/>
            <w:shd w:fill="FFFFFF"/>
          </w:tcPr>
          <w:p>
            <w:pPr>
              <w:spacing w:after="0" w:line="245" w:lineRule="auto"/>
            </w:pPr>
            <w:r>
              <w:rPr>
                <w:b w:val="0"/>
                <w:color w:val="000000"/>
                <w:sz w:val="18"/>
              </w:rPr>
              <w:t>2500 mAh / 7.6 V (19 Wh); replaceable; hot-swappable</w:t>
            </w:r>
          </w:p>
        </w:tc>
      </w:tr>
      <w:tr>
        <w:trPr>
          <w:cantSplit/>
        </w:trPr>
        <w:tc>
          <w:tcPr>
            <w:tcW w:type="dxa" w:w="2880"/>
            <w:vAlign w:val="center"/>
            <w:shd w:fill="F4F7F9"/>
          </w:tcPr>
          <w:p>
            <w:pPr>
              <w:spacing w:after="0" w:line="245" w:lineRule="auto"/>
            </w:pPr>
            <w:r>
              <w:rPr>
                <w:b w:val="0"/>
                <w:color w:val="000000"/>
                <w:sz w:val="18"/>
              </w:rPr>
              <w:t>Ingress protection</w:t>
            </w:r>
          </w:p>
        </w:tc>
        <w:tc>
          <w:tcPr>
            <w:tcW w:type="dxa" w:w="7488"/>
            <w:vAlign w:val="center"/>
            <w:shd w:fill="F4F7F9"/>
          </w:tcPr>
          <w:p>
            <w:pPr>
              <w:spacing w:after="0" w:line="245" w:lineRule="auto"/>
            </w:pPr>
            <w:r>
              <w:rPr>
                <w:b w:val="0"/>
                <w:color w:val="000000"/>
                <w:sz w:val="18"/>
              </w:rPr>
              <w:t>IP65</w:t>
            </w:r>
          </w:p>
        </w:tc>
      </w:tr>
      <w:tr>
        <w:trPr>
          <w:cantSplit/>
        </w:trPr>
        <w:tc>
          <w:tcPr>
            <w:tcW w:type="dxa" w:w="2880"/>
            <w:vAlign w:val="center"/>
            <w:shd w:fill="FFFFFF"/>
          </w:tcPr>
          <w:p>
            <w:pPr>
              <w:spacing w:after="0" w:line="245" w:lineRule="auto"/>
            </w:pPr>
            <w:r>
              <w:rPr>
                <w:b w:val="0"/>
                <w:color w:val="000000"/>
                <w:sz w:val="18"/>
              </w:rPr>
              <w:t>Wearability</w:t>
            </w:r>
          </w:p>
        </w:tc>
        <w:tc>
          <w:tcPr>
            <w:tcW w:type="dxa" w:w="7488"/>
            <w:vAlign w:val="center"/>
            <w:shd w:fill="FFFFFF"/>
          </w:tcPr>
          <w:p>
            <w:pPr>
              <w:spacing w:after="0" w:line="245" w:lineRule="auto"/>
            </w:pPr>
            <w:r>
              <w:rPr>
                <w:b w:val="0"/>
                <w:color w:val="000000"/>
                <w:sz w:val="18"/>
              </w:rPr>
              <w:t>Prescription-glasses friendly; specific PPE fit requires evaluation</w:t>
            </w:r>
          </w:p>
        </w:tc>
      </w:tr>
      <w:tr>
        <w:trPr>
          <w:cantSplit/>
        </w:trPr>
        <w:tc>
          <w:tcPr>
            <w:tcW w:type="dxa" w:w="2880"/>
            <w:vAlign w:val="center"/>
            <w:shd w:fill="F4F7F9"/>
          </w:tcPr>
          <w:p>
            <w:pPr>
              <w:spacing w:after="0" w:line="245" w:lineRule="auto"/>
            </w:pPr>
            <w:r>
              <w:rPr>
                <w:b w:val="0"/>
                <w:color w:val="000000"/>
                <w:sz w:val="18"/>
              </w:rPr>
              <w:t>Interaction</w:t>
            </w:r>
          </w:p>
        </w:tc>
        <w:tc>
          <w:tcPr>
            <w:tcW w:type="dxa" w:w="7488"/>
            <w:vAlign w:val="center"/>
            <w:shd w:fill="F4F7F9"/>
          </w:tcPr>
          <w:p>
            <w:pPr>
              <w:spacing w:after="0" w:line="245" w:lineRule="auto"/>
            </w:pPr>
            <w:r>
              <w:rPr>
                <w:b w:val="0"/>
                <w:color w:val="000000"/>
                <w:sz w:val="18"/>
              </w:rPr>
              <w:t>Head gaze; hand tracking; hardware buttons</w:t>
            </w:r>
          </w:p>
        </w:tc>
      </w:tr>
      <w:tr>
        <w:trPr>
          <w:cantSplit/>
        </w:trPr>
        <w:tc>
          <w:tcPr>
            <w:tcW w:type="dxa" w:w="2880"/>
            <w:vAlign w:val="center"/>
            <w:shd w:fill="FFFFFF"/>
          </w:tcPr>
          <w:p>
            <w:pPr>
              <w:spacing w:after="0" w:line="245" w:lineRule="auto"/>
            </w:pPr>
            <w:r>
              <w:rPr>
                <w:b w:val="0"/>
                <w:color w:val="000000"/>
                <w:sz w:val="18"/>
              </w:rPr>
              <w:t>Audio</w:t>
            </w:r>
          </w:p>
        </w:tc>
        <w:tc>
          <w:tcPr>
            <w:tcW w:type="dxa" w:w="7488"/>
            <w:vAlign w:val="center"/>
            <w:shd w:fill="FFFFFF"/>
          </w:tcPr>
          <w:p>
            <w:pPr>
              <w:spacing w:after="0" w:line="245" w:lineRule="auto"/>
            </w:pPr>
            <w:r>
              <w:rPr>
                <w:b w:val="0"/>
                <w:color w:val="000000"/>
                <w:sz w:val="18"/>
              </w:rPr>
              <w:t>Stereo speakers; microphone</w:t>
            </w:r>
          </w:p>
        </w:tc>
      </w:tr>
      <w:tr>
        <w:trPr>
          <w:cantSplit/>
        </w:trPr>
        <w:tc>
          <w:tcPr>
            <w:tcW w:type="dxa" w:w="2880"/>
            <w:vAlign w:val="center"/>
            <w:shd w:fill="F4F7F9"/>
          </w:tcPr>
          <w:p>
            <w:pPr>
              <w:spacing w:after="0" w:line="245" w:lineRule="auto"/>
            </w:pPr>
            <w:r>
              <w:rPr>
                <w:b w:val="0"/>
                <w:color w:val="000000"/>
                <w:sz w:val="18"/>
              </w:rPr>
              <w:t>External interfaces</w:t>
            </w:r>
          </w:p>
        </w:tc>
        <w:tc>
          <w:tcPr>
            <w:tcW w:type="dxa" w:w="7488"/>
            <w:vAlign w:val="center"/>
            <w:shd w:fill="F4F7F9"/>
          </w:tcPr>
          <w:p>
            <w:pPr>
              <w:spacing w:after="0" w:line="245" w:lineRule="auto"/>
            </w:pPr>
            <w:r>
              <w:rPr>
                <w:b w:val="0"/>
                <w:color w:val="000000"/>
                <w:sz w:val="18"/>
              </w:rPr>
              <w:t>USB Type-C; microSD card slot</w:t>
            </w:r>
          </w:p>
        </w:tc>
      </w:tr>
      <w:tr>
        <w:trPr>
          <w:cantSplit/>
        </w:trPr>
        <w:tc>
          <w:tcPr>
            <w:tcW w:type="dxa" w:w="2880"/>
            <w:vAlign w:val="center"/>
            <w:shd w:fill="FFFFFF"/>
          </w:tcPr>
          <w:p>
            <w:pPr>
              <w:spacing w:after="0" w:line="245" w:lineRule="auto"/>
            </w:pPr>
            <w:r>
              <w:rPr>
                <w:b w:val="0"/>
                <w:color w:val="000000"/>
                <w:sz w:val="18"/>
              </w:rPr>
              <w:t>Connectivity</w:t>
            </w:r>
          </w:p>
        </w:tc>
        <w:tc>
          <w:tcPr>
            <w:tcW w:type="dxa" w:w="7488"/>
            <w:vAlign w:val="center"/>
            <w:shd w:fill="FFFFFF"/>
          </w:tcPr>
          <w:p>
            <w:pPr>
              <w:spacing w:after="0" w:line="245" w:lineRule="auto"/>
            </w:pPr>
            <w:r>
              <w:rPr>
                <w:b w:val="0"/>
                <w:color w:val="000000"/>
                <w:sz w:val="18"/>
              </w:rPr>
              <w:t>Wi-Fi 5; Bluetooth 5.4</w:t>
            </w:r>
          </w:p>
        </w:tc>
      </w:tr>
      <w:tr>
        <w:trPr>
          <w:cantSplit/>
        </w:trPr>
        <w:tc>
          <w:tcPr>
            <w:tcW w:type="dxa" w:w="2880"/>
            <w:vAlign w:val="center"/>
            <w:shd w:fill="F4F7F9"/>
          </w:tcPr>
          <w:p>
            <w:pPr>
              <w:spacing w:after="0" w:line="245" w:lineRule="auto"/>
            </w:pPr>
            <w:r>
              <w:rPr>
                <w:b w:val="0"/>
                <w:color w:val="000000"/>
                <w:sz w:val="18"/>
              </w:rPr>
              <w:t>Chassis</w:t>
            </w:r>
          </w:p>
        </w:tc>
        <w:tc>
          <w:tcPr>
            <w:tcW w:type="dxa" w:w="7488"/>
            <w:vAlign w:val="center"/>
            <w:shd w:fill="F4F7F9"/>
          </w:tcPr>
          <w:p>
            <w:pPr>
              <w:spacing w:after="0" w:line="245" w:lineRule="auto"/>
            </w:pPr>
            <w:r>
              <w:rPr>
                <w:b w:val="0"/>
                <w:color w:val="000000"/>
                <w:sz w:val="18"/>
              </w:rPr>
              <w:t>Aluminum and plastic</w:t>
            </w:r>
          </w:p>
        </w:tc>
      </w:tr>
    </w:tbl>
    <w:p>
      <w:pPr>
        <w:spacing w:after="20"/>
      </w:pPr>
    </w:p>
    <w:p>
      <w:pPr>
        <w:pStyle w:val="Heading4"/>
      </w:pPr>
      <w:r>
        <w:t>Software and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color w:val="000000"/>
                <w:sz w:val="18"/>
              </w:rPr>
              <w:t>Specification</w:t>
            </w:r>
          </w:p>
        </w:tc>
        <w:tc>
          <w:tcPr>
            <w:tcW w:type="dxa" w:w="7488"/>
            <w:vAlign w:val="center"/>
            <w:shd w:fill="DCEAF0"/>
          </w:tcPr>
          <w:p>
            <w:pPr>
              <w:spacing w:after="0" w:line="245" w:lineRule="auto"/>
            </w:pPr>
            <w:r>
              <w:rPr>
                <w:b/>
                <w:color w:val="000000"/>
                <w:sz w:val="18"/>
              </w:rPr>
              <w:t>SiNGRAY G2</w:t>
            </w:r>
          </w:p>
        </w:tc>
      </w:tr>
      <w:tr>
        <w:trPr>
          <w:cantSplit/>
        </w:trPr>
        <w:tc>
          <w:tcPr>
            <w:tcW w:type="dxa" w:w="2880"/>
            <w:vAlign w:val="center"/>
            <w:shd w:fill="FFFFFF"/>
          </w:tcPr>
          <w:p>
            <w:pPr>
              <w:spacing w:after="0" w:line="245" w:lineRule="auto"/>
            </w:pPr>
            <w:r>
              <w:rPr>
                <w:b w:val="0"/>
                <w:color w:val="000000"/>
                <w:sz w:val="18"/>
              </w:rPr>
              <w:t>Operating system</w:t>
            </w:r>
          </w:p>
        </w:tc>
        <w:tc>
          <w:tcPr>
            <w:tcW w:type="dxa" w:w="7488"/>
            <w:vAlign w:val="center"/>
            <w:shd w:fill="FFFFFF"/>
          </w:tcPr>
          <w:p>
            <w:pPr>
              <w:spacing w:after="0" w:line="245" w:lineRule="auto"/>
            </w:pPr>
            <w:r>
              <w:rPr>
                <w:b w:val="0"/>
                <w:color w:val="000000"/>
                <w:sz w:val="18"/>
              </w:rPr>
              <w:t>Android-based (Android 15 AOSP)</w:t>
            </w:r>
          </w:p>
        </w:tc>
      </w:tr>
      <w:tr>
        <w:trPr>
          <w:cantSplit/>
        </w:trPr>
        <w:tc>
          <w:tcPr>
            <w:tcW w:type="dxa" w:w="2880"/>
            <w:vAlign w:val="center"/>
            <w:shd w:fill="F4F7F9"/>
          </w:tcPr>
          <w:p>
            <w:pPr>
              <w:spacing w:after="0" w:line="245" w:lineRule="auto"/>
            </w:pPr>
            <w:r>
              <w:rPr>
                <w:b w:val="0"/>
                <w:color w:val="000000"/>
                <w:sz w:val="18"/>
              </w:rPr>
              <w:t>Development</w:t>
            </w:r>
          </w:p>
        </w:tc>
        <w:tc>
          <w:tcPr>
            <w:tcW w:type="dxa" w:w="7488"/>
            <w:vAlign w:val="center"/>
            <w:shd w:fill="F4F7F9"/>
          </w:tcPr>
          <w:p>
            <w:pPr>
              <w:spacing w:after="0" w:line="245" w:lineRule="auto"/>
            </w:pPr>
            <w:r>
              <w:rPr>
                <w:b w:val="0"/>
                <w:color w:val="000000"/>
                <w:sz w:val="18"/>
              </w:rPr>
              <w:t>OpenXR; Unity; SiNGRAY Native SDK</w:t>
            </w:r>
          </w:p>
        </w:tc>
      </w:tr>
      <w:tr>
        <w:trPr>
          <w:cantSplit/>
        </w:trPr>
        <w:tc>
          <w:tcPr>
            <w:tcW w:type="dxa" w:w="2880"/>
            <w:vAlign w:val="center"/>
            <w:shd w:fill="FFFFFF"/>
          </w:tcPr>
          <w:p>
            <w:pPr>
              <w:spacing w:after="0" w:line="245" w:lineRule="auto"/>
            </w:pPr>
            <w:r>
              <w:rPr>
                <w:b w:val="0"/>
                <w:color w:val="000000"/>
                <w:sz w:val="18"/>
              </w:rPr>
              <w:t>Device management</w:t>
            </w:r>
          </w:p>
        </w:tc>
        <w:tc>
          <w:tcPr>
            <w:tcW w:type="dxa" w:w="7488"/>
            <w:vAlign w:val="center"/>
            <w:shd w:fill="FFFFFF"/>
          </w:tcPr>
          <w:p>
            <w:pPr>
              <w:spacing w:after="0" w:line="245" w:lineRule="auto"/>
            </w:pPr>
            <w:r>
              <w:rPr>
                <w:b w:val="0"/>
                <w:color w:val="000000"/>
                <w:sz w:val="18"/>
              </w:rPr>
              <w:t>MDM-ready (see 4.8)</w:t>
            </w:r>
          </w:p>
        </w:tc>
      </w:tr>
      <w:tr>
        <w:trPr>
          <w:cantSplit/>
        </w:trPr>
        <w:tc>
          <w:tcPr>
            <w:tcW w:type="dxa" w:w="2880"/>
            <w:vAlign w:val="center"/>
            <w:shd w:fill="F4F7F9"/>
          </w:tcPr>
          <w:p>
            <w:pPr>
              <w:spacing w:after="0" w:line="245" w:lineRule="auto"/>
            </w:pPr>
            <w:r>
              <w:rPr>
                <w:b w:val="0"/>
                <w:color w:val="000000"/>
                <w:sz w:val="18"/>
              </w:rPr>
              <w:t>Standard package</w:t>
            </w:r>
          </w:p>
        </w:tc>
        <w:tc>
          <w:tcPr>
            <w:tcW w:type="dxa" w:w="7488"/>
            <w:vAlign w:val="center"/>
            <w:shd w:fill="F4F7F9"/>
          </w:tcPr>
          <w:p>
            <w:pPr>
              <w:spacing w:after="0" w:line="245" w:lineRule="auto"/>
            </w:pPr>
            <w:r>
              <w:rPr>
                <w:b w:val="0"/>
                <w:color w:val="000000"/>
                <w:sz w:val="18"/>
              </w:rPr>
              <w:t>Headset; battery pack(s); carrying case; charging accessories. Exact contents follow the quotation and packing list.</w:t>
            </w:r>
          </w:p>
        </w:tc>
      </w:tr>
      <w:tr>
        <w:trPr>
          <w:cantSplit/>
        </w:trPr>
        <w:tc>
          <w:tcPr>
            <w:tcW w:type="dxa" w:w="2880"/>
            <w:vAlign w:val="center"/>
            <w:shd w:fill="FFFFFF"/>
          </w:tcPr>
          <w:p>
            <w:pPr>
              <w:spacing w:after="0" w:line="245" w:lineRule="auto"/>
            </w:pPr>
            <w:r>
              <w:rPr>
                <w:b w:val="0"/>
                <w:color w:val="000000"/>
                <w:sz w:val="18"/>
              </w:rPr>
              <w:t>Optional items</w:t>
            </w:r>
          </w:p>
        </w:tc>
        <w:tc>
          <w:tcPr>
            <w:tcW w:type="dxa" w:w="7488"/>
            <w:vAlign w:val="center"/>
            <w:shd w:fill="FFFFFF"/>
          </w:tcPr>
          <w:p>
            <w:pPr>
              <w:spacing w:after="0" w:line="245" w:lineRule="auto"/>
            </w:pPr>
            <w:r>
              <w:rPr>
                <w:b w:val="0"/>
                <w:color w:val="000000"/>
                <w:sz w:val="18"/>
              </w:rPr>
              <w:t>Additional battery</w:t>
            </w:r>
          </w:p>
        </w:tc>
      </w:tr>
    </w:tbl>
    <w:p>
      <w:pPr>
        <w:spacing w:after="20"/>
      </w:pPr>
    </w:p>
    <w:p>
      <w:pPr>
        <w:pStyle w:val="Heading3"/>
      </w:pPr>
      <w:r>
        <w:t>4.7 Software and development</w:t>
      </w:r>
    </w:p>
    <w:p>
      <w:pPr>
        <w:pStyle w:val="Heading4"/>
      </w:pPr>
      <w:r>
        <w:t>Device operating system</w:t>
      </w:r>
    </w:p>
    <w:p>
      <w:r>
        <w:rPr>
          <w:b w:val="0"/>
          <w:i w:val="0"/>
        </w:rPr>
        <w:t>SiNGRAY G2 runs an Android-based operating system built on Android 15 AOSP. This platform provides the foundation for enterprise enrollment, security, application management, and software updates through compatible mobile device management solutions — similar to the management of enterprise phones or tablets.</w:t>
      </w:r>
    </w:p>
    <w:p>
      <w:pPr>
        <w:pStyle w:val="Heading4"/>
      </w:pPr>
      <w:r>
        <w:t>Development environments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i w:val="0"/>
                <w:color w:val="000000"/>
                <w:sz w:val="18"/>
              </w:rPr>
              <w:t>Environment</w:t>
            </w:r>
          </w:p>
        </w:tc>
        <w:tc>
          <w:tcPr>
            <w:tcW w:type="dxa" w:w="7488"/>
            <w:vAlign w:val="center"/>
            <w:shd w:fill="DCEAF0"/>
          </w:tcPr>
          <w:p>
            <w:pPr>
              <w:spacing w:after="0" w:line="245" w:lineRule="auto"/>
            </w:pPr>
            <w:r>
              <w:rPr>
                <w:b/>
                <w:i w:val="0"/>
                <w:color w:val="000000"/>
                <w:sz w:val="18"/>
              </w:rPr>
              <w:t>Status</w:t>
            </w:r>
          </w:p>
        </w:tc>
      </w:tr>
      <w:tr>
        <w:trPr>
          <w:cantSplit/>
        </w:trPr>
        <w:tc>
          <w:tcPr>
            <w:tcW w:type="dxa" w:w="2880"/>
            <w:vAlign w:val="center"/>
            <w:shd w:fill="FFFFFF"/>
          </w:tcPr>
          <w:p>
            <w:pPr>
              <w:spacing w:after="0" w:line="245" w:lineRule="auto"/>
            </w:pPr>
            <w:r>
              <w:rPr>
                <w:b w:val="0"/>
                <w:i w:val="0"/>
                <w:color w:val="000000"/>
                <w:sz w:val="18"/>
              </w:rPr>
              <w:t>OpenXR</w:t>
            </w:r>
          </w:p>
        </w:tc>
        <w:tc>
          <w:tcPr>
            <w:tcW w:type="dxa" w:w="7488"/>
            <w:vAlign w:val="center"/>
            <w:shd w:fill="FFFFFF"/>
          </w:tcPr>
          <w:p>
            <w:pPr>
              <w:spacing w:after="0" w:line="245" w:lineRule="auto"/>
            </w:pPr>
            <w:r>
              <w:rPr>
                <w:b w:val="0"/>
                <w:i w:val="0"/>
                <w:color w:val="000000"/>
                <w:sz w:val="18"/>
              </w:rPr>
              <w:t>Supported. Applications written against OpenXR target the device through the built-in runtime.</w:t>
            </w:r>
          </w:p>
        </w:tc>
      </w:tr>
      <w:tr>
        <w:trPr>
          <w:cantSplit/>
        </w:trPr>
        <w:tc>
          <w:tcPr>
            <w:tcW w:type="dxa" w:w="2880"/>
            <w:vAlign w:val="center"/>
            <w:shd w:fill="F4F7F9"/>
          </w:tcPr>
          <w:p>
            <w:pPr>
              <w:spacing w:after="0" w:line="245" w:lineRule="auto"/>
            </w:pPr>
            <w:r>
              <w:rPr>
                <w:b w:val="0"/>
                <w:i w:val="0"/>
                <w:color w:val="000000"/>
                <w:sz w:val="18"/>
              </w:rPr>
              <w:t>Unity</w:t>
            </w:r>
          </w:p>
        </w:tc>
        <w:tc>
          <w:tcPr>
            <w:tcW w:type="dxa" w:w="7488"/>
            <w:vAlign w:val="center"/>
            <w:shd w:fill="F4F7F9"/>
          </w:tcPr>
          <w:p>
            <w:pPr>
              <w:spacing w:after="0" w:line="245" w:lineRule="auto"/>
            </w:pPr>
            <w:r>
              <w:rPr>
                <w:b w:val="0"/>
                <w:i w:val="0"/>
                <w:color w:val="000000"/>
                <w:sz w:val="18"/>
              </w:rPr>
              <w:t>Supported. Confirm the engine version, required OpenXR extensions and input model for the project.</w:t>
            </w:r>
          </w:p>
        </w:tc>
      </w:tr>
      <w:tr>
        <w:trPr>
          <w:cantSplit/>
        </w:trPr>
        <w:tc>
          <w:tcPr>
            <w:tcW w:type="dxa" w:w="2880"/>
            <w:vAlign w:val="center"/>
            <w:shd w:fill="FFFFFF"/>
          </w:tcPr>
          <w:p>
            <w:pPr>
              <w:spacing w:after="0" w:line="245" w:lineRule="auto"/>
            </w:pPr>
            <w:r>
              <w:rPr>
                <w:b w:val="0"/>
                <w:i w:val="0"/>
                <w:color w:val="000000"/>
                <w:sz w:val="18"/>
              </w:rPr>
              <w:t>SiNGRAY Native SDK</w:t>
            </w:r>
          </w:p>
        </w:tc>
        <w:tc>
          <w:tcPr>
            <w:tcW w:type="dxa" w:w="7488"/>
            <w:vAlign w:val="center"/>
            <w:shd w:fill="FFFFFF"/>
          </w:tcPr>
          <w:p>
            <w:pPr>
              <w:spacing w:after="0" w:line="245" w:lineRule="auto"/>
            </w:pPr>
            <w:r>
              <w:rPr>
                <w:b w:val="0"/>
                <w:i w:val="0"/>
                <w:color w:val="000000"/>
                <w:sz w:val="18"/>
              </w:rPr>
              <w:t>Native development path provided by HMS.</w:t>
            </w:r>
          </w:p>
        </w:tc>
      </w:tr>
      <w:tr>
        <w:trPr>
          <w:cantSplit/>
        </w:trPr>
        <w:tc>
          <w:tcPr>
            <w:tcW w:type="dxa" w:w="2880"/>
            <w:vAlign w:val="center"/>
            <w:shd w:fill="F4F7F9"/>
          </w:tcPr>
          <w:p>
            <w:pPr>
              <w:spacing w:after="0" w:line="245" w:lineRule="auto"/>
            </w:pPr>
            <w:r>
              <w:rPr>
                <w:b w:val="0"/>
                <w:i w:val="0"/>
                <w:color w:val="000000"/>
                <w:sz w:val="18"/>
              </w:rPr>
              <w:t>MRTK-style toolkits</w:t>
            </w:r>
          </w:p>
        </w:tc>
        <w:tc>
          <w:tcPr>
            <w:tcW w:type="dxa" w:w="7488"/>
            <w:vAlign w:val="center"/>
            <w:shd w:fill="F4F7F9"/>
          </w:tcPr>
          <w:p>
            <w:pPr>
              <w:spacing w:after="0" w:line="245" w:lineRule="auto"/>
            </w:pPr>
            <w:r>
              <w:rPr>
                <w:b w:val="0"/>
                <w:i w:val="0"/>
                <w:color w:val="000000"/>
                <w:sz w:val="18"/>
              </w:rPr>
              <w:t>An interaction sample is available (see the video library in 6.2). Confirm the supported toolkit version for a specific project.</w:t>
            </w:r>
          </w:p>
        </w:tc>
      </w:tr>
    </w:tbl>
    <w:p>
      <w:pPr>
        <w:spacing w:after="20"/>
      </w:pPr>
    </w:p>
    <w:p>
      <w:r>
        <w:rPr>
          <w:b w:val="0"/>
          <w:i w:val="0"/>
        </w:rPr>
        <w:t>HMS offers a developer support service for project-specific technical assistance. Scope and terms are agreed with HMS — see section 2.3.</w:t>
      </w:r>
    </w:p>
    <w:p>
      <w:pPr>
        <w:pStyle w:val="Heading3"/>
      </w:pPr>
      <w:r>
        <w:t>4.8 Device management</w:t>
      </w:r>
    </w:p>
    <w:p>
      <w:r>
        <w:rPr>
          <w:b w:val="0"/>
          <w:i w:val="0"/>
        </w:rPr>
        <w:t>SiNGRAY G2 is MDM-ready. Three routes are available for provisioning, deployment and updates.</w:t>
      </w:r>
    </w:p>
    <w:p>
      <w:pPr>
        <w:pStyle w:val="ListBullet"/>
      </w:pPr>
      <w:r>
        <w:rPr>
          <w:b/>
          <w:i w:val="0"/>
        </w:rPr>
        <w:t xml:space="preserve">SiNGRAY G2 Configure. </w:t>
      </w:r>
      <w:r>
        <w:rPr>
          <w:b w:val="0"/>
          <w:i w:val="0"/>
        </w:rPr>
        <w:t>A Windows application for authorized administrators supporting application installation, firmware and system updates, device information and diagnostic logs, Wi-Fi configuration, file and media management, and RTSP live streaming.</w:t>
      </w:r>
    </w:p>
    <w:p>
      <w:pPr>
        <w:pStyle w:val="ListBullet"/>
      </w:pPr>
      <w:r>
        <w:rPr>
          <w:b/>
          <w:i w:val="0"/>
        </w:rPr>
        <w:t xml:space="preserve">Direct installation. </w:t>
      </w:r>
      <w:r>
        <w:rPr>
          <w:b w:val="0"/>
          <w:i w:val="0"/>
        </w:rPr>
        <w:t>Development teams can install applications through ADB using their existing Android deployment workflow.</w:t>
      </w:r>
    </w:p>
    <w:p>
      <w:pPr>
        <w:pStyle w:val="ListBullet"/>
      </w:pPr>
      <w:r>
        <w:rPr>
          <w:b/>
          <w:i w:val="0"/>
        </w:rPr>
        <w:t xml:space="preserve">Enterprise MDM platforms. </w:t>
      </w:r>
      <w:r>
        <w:rPr>
          <w:b w:val="0"/>
          <w:i w:val="0"/>
        </w:rPr>
        <w:t>ArborXR publishes a dedicated G2 enrollment guide using its Device Setup App with Device Group or Enroll Only. ManageXR provides generic Android device guidance. Microsoft Intune validation is in progress. Feature coverage differs by platform and is still being completed; the G2-specific scope is confirmed for each deployment. One MDM platform is selected at first boot, before other software is installed.</w:t>
      </w:r>
    </w:p>
    <w:p>
      <w:pPr>
        <w:pStyle w:val="Heading2"/>
      </w:pPr>
      <w:r>
        <w:t>5 Communications and publishing</w:t>
      </w:r>
    </w:p>
    <w:p>
      <w:r>
        <w:rPr>
          <w:b w:val="0"/>
          <w:i w:val="0"/>
          <w:color w:val="555555"/>
          <w:sz w:val="18"/>
        </w:rPr>
        <w:t>Reference material for partner communications: the rules that apply to anything published about SiNGRAY G2, and templates for web page metadata. Adapt the wording, tone and length to your own audience and brand voice; replace bracketed fields before use.</w:t>
      </w:r>
    </w:p>
    <w:p>
      <w:pPr>
        <w:pStyle w:val="Heading3"/>
      </w:pPr>
      <w:r>
        <w:t>5.1 Publishing guidelines</w:t>
      </w:r>
    </w:p>
    <w:p>
      <w:r>
        <w:rPr>
          <w:b w:val="0"/>
          <w:i w:val="0"/>
        </w:rPr>
        <w:t>Please keep to these in any published material. They protect the customer as much as HMS and the partner.</w:t>
      </w:r>
    </w:p>
    <w:p>
      <w:pPr>
        <w:pStyle w:val="Heading4"/>
      </w:pPr>
      <w:r>
        <w:t>Availability</w:t>
      </w:r>
    </w:p>
    <w:p>
      <w:r>
        <w:rPr>
          <w:b w:val="0"/>
          <w:i w:val="0"/>
        </w:rPr>
        <w:t>Before 10 October 2026, use "mass-production orders open on 10 October 2026". Once HMS confirms that orders have opened, use "Orders are open". Do not imply immediate stock or shipment.</w:t>
      </w:r>
    </w:p>
    <w:p>
      <w:pPr>
        <w:pStyle w:val="Heading4"/>
      </w:pPr>
      <w:r>
        <w:t>Product stage</w:t>
      </w:r>
    </w:p>
    <w:p>
      <w:r>
        <w:rPr>
          <w:b w:val="0"/>
          <w:i w:val="0"/>
        </w:rPr>
        <w:t>The engineering validation phase is complete. Do not describe the product as early access, pre-production, engineering sample or beta.</w:t>
      </w:r>
    </w:p>
    <w:p>
      <w:pPr>
        <w:pStyle w:val="Heading4"/>
      </w:pPr>
      <w:r>
        <w:t>Delivery</w:t>
      </w:r>
    </w:p>
    <w:p>
      <w:r>
        <w:rPr>
          <w:b w:val="0"/>
          <w:i w:val="0"/>
        </w:rPr>
        <w:t>Do not publish a specific delivery date or week. Delivery windows are confirmed per order.</w:t>
      </w:r>
    </w:p>
    <w:p>
      <w:pPr>
        <w:pStyle w:val="Heading4"/>
      </w:pPr>
      <w:r>
        <w:t>Certification</w:t>
      </w:r>
    </w:p>
    <w:p>
      <w:r>
        <w:rPr>
          <w:b w:val="0"/>
          <w:i w:val="0"/>
        </w:rPr>
        <w:t>Do not claim FCC, CE or other market approval in general terms. Certification status is confirmed per unit and market.</w:t>
      </w:r>
    </w:p>
    <w:p>
      <w:pPr>
        <w:pStyle w:val="Heading4"/>
      </w:pPr>
      <w:r>
        <w:t>Weight</w:t>
      </w:r>
    </w:p>
    <w:p>
      <w:r>
        <w:rPr>
          <w:b w:val="0"/>
          <w:i w:val="0"/>
        </w:rPr>
        <w:t>Not published. Omit.</w:t>
      </w:r>
    </w:p>
    <w:p>
      <w:pPr>
        <w:pStyle w:val="Heading4"/>
      </w:pPr>
      <w:r>
        <w:t>Specifications</w:t>
      </w:r>
    </w:p>
    <w:p>
      <w:r>
        <w:rPr>
          <w:b w:val="0"/>
          <w:i w:val="0"/>
        </w:rPr>
        <w:t>Use the values in section 4.6. Where an earlier figure differs, this pack is correct.</w:t>
      </w:r>
    </w:p>
    <w:p>
      <w:pPr>
        <w:pStyle w:val="Heading4"/>
      </w:pPr>
      <w:r>
        <w:t>Software</w:t>
      </w:r>
    </w:p>
    <w:p>
      <w:r>
        <w:rPr>
          <w:b w:val="0"/>
          <w:i w:val="0"/>
        </w:rPr>
        <w:t>Describe a partner application as running on or supplied with SiNGRAY G2. Do not describe third-party software as embedded in or pre-installed by HMS unless HMS has confirmed that in writing.</w:t>
      </w:r>
    </w:p>
    <w:p>
      <w:pPr>
        <w:pStyle w:val="Heading4"/>
      </w:pPr>
      <w:r>
        <w:t>Device management</w:t>
      </w:r>
    </w:p>
    <w:p>
      <w:r>
        <w:rPr>
          <w:b w:val="0"/>
          <w:i w:val="0"/>
        </w:rPr>
        <w:t>State each platform's G2 status separately; do not present all platforms as equally validated.</w:t>
      </w:r>
    </w:p>
    <w:p>
      <w:pPr>
        <w:pStyle w:val="Heading4"/>
      </w:pPr>
      <w:r>
        <w:t>Outcomes</w:t>
      </w:r>
    </w:p>
    <w:p>
      <w:r>
        <w:rPr>
          <w:b w:val="0"/>
          <w:i w:val="0"/>
        </w:rPr>
        <w:t>Do not publish productivity, quality or error-rate improvements without approved evidence for that deployment.</w:t>
      </w:r>
    </w:p>
    <w:p>
      <w:pPr>
        <w:pStyle w:val="Heading4"/>
      </w:pPr>
      <w:r>
        <w:t>Customer names, logos and quotes</w:t>
      </w:r>
    </w:p>
    <w:p>
      <w:r>
        <w:rPr>
          <w:b w:val="0"/>
          <w:i w:val="0"/>
        </w:rPr>
        <w:t>Only with written permission.</w:t>
      </w:r>
    </w:p>
    <w:p>
      <w:pPr>
        <w:pStyle w:val="Heading4"/>
      </w:pPr>
      <w:r>
        <w:t>Product name</w:t>
      </w:r>
    </w:p>
    <w:p>
      <w:r>
        <w:rPr>
          <w:b w:val="0"/>
          <w:i w:val="0"/>
        </w:rPr>
        <w:t>SiNGRAY G2 — capital S, lower-case i, capitals NGRAY. Company name: HMS Inc.</w:t>
      </w:r>
    </w:p>
    <w:p>
      <w:pPr>
        <w:pStyle w:val="Heading3"/>
      </w:pPr>
      <w:r>
        <w:t>5.2 Web page metadata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i w:val="0"/>
                <w:color w:val="000000"/>
                <w:sz w:val="18"/>
              </w:rPr>
              <w:t>Field</w:t>
            </w:r>
          </w:p>
        </w:tc>
        <w:tc>
          <w:tcPr>
            <w:tcW w:type="dxa" w:w="7488"/>
            <w:vAlign w:val="center"/>
            <w:shd w:fill="DCEAF0"/>
          </w:tcPr>
          <w:p>
            <w:pPr>
              <w:spacing w:after="0" w:line="245" w:lineRule="auto"/>
            </w:pPr>
            <w:r>
              <w:rPr>
                <w:b/>
                <w:i w:val="0"/>
                <w:color w:val="000000"/>
                <w:sz w:val="18"/>
              </w:rPr>
              <w:t>Template</w:t>
            </w:r>
          </w:p>
        </w:tc>
      </w:tr>
      <w:tr>
        <w:trPr>
          <w:cantSplit/>
        </w:trPr>
        <w:tc>
          <w:tcPr>
            <w:tcW w:type="dxa" w:w="2880"/>
            <w:vAlign w:val="center"/>
            <w:shd w:fill="FFFFFF"/>
          </w:tcPr>
          <w:p>
            <w:pPr>
              <w:spacing w:after="0" w:line="245" w:lineRule="auto"/>
            </w:pPr>
            <w:r>
              <w:rPr>
                <w:b w:val="0"/>
                <w:i w:val="0"/>
                <w:color w:val="000000"/>
                <w:sz w:val="18"/>
              </w:rPr>
              <w:t>Page title</w:t>
            </w:r>
          </w:p>
        </w:tc>
        <w:tc>
          <w:tcPr>
            <w:tcW w:type="dxa" w:w="7488"/>
            <w:vAlign w:val="center"/>
            <w:shd w:fill="FFFFFF"/>
          </w:tcPr>
          <w:p>
            <w:pPr>
              <w:spacing w:after="0" w:line="245" w:lineRule="auto"/>
            </w:pPr>
            <w:r>
              <w:rPr>
                <w:b w:val="0"/>
                <w:i w:val="0"/>
                <w:color w:val="000000"/>
                <w:sz w:val="18"/>
              </w:rPr>
              <w:t>HMS SiNGRAY G2 Enterprise AR Headset | [Partner]</w:t>
            </w:r>
          </w:p>
        </w:tc>
      </w:tr>
      <w:tr>
        <w:trPr>
          <w:cantSplit/>
        </w:trPr>
        <w:tc>
          <w:tcPr>
            <w:tcW w:type="dxa" w:w="2880"/>
            <w:vAlign w:val="center"/>
            <w:shd w:fill="F4F7F9"/>
          </w:tcPr>
          <w:p>
            <w:pPr>
              <w:spacing w:after="0" w:line="245" w:lineRule="auto"/>
            </w:pPr>
            <w:r>
              <w:rPr>
                <w:b w:val="0"/>
                <w:i w:val="0"/>
                <w:color w:val="000000"/>
                <w:sz w:val="18"/>
              </w:rPr>
              <w:t>Meta description</w:t>
            </w:r>
          </w:p>
        </w:tc>
        <w:tc>
          <w:tcPr>
            <w:tcW w:type="dxa" w:w="7488"/>
            <w:vAlign w:val="center"/>
            <w:shd w:fill="F4F7F9"/>
          </w:tcPr>
          <w:p>
            <w:pPr>
              <w:spacing w:after="0" w:line="245" w:lineRule="auto"/>
            </w:pPr>
            <w:r>
              <w:rPr>
                <w:b w:val="0"/>
                <w:i w:val="0"/>
                <w:color w:val="000000"/>
                <w:sz w:val="18"/>
              </w:rPr>
              <w:t>Standalone optical see-through enterprise AR headset with true 6DoF tracking, hot-swappable battery and IP65 protection. Mass-production orders open 10 October 2026.</w:t>
            </w:r>
          </w:p>
        </w:tc>
      </w:tr>
      <w:tr>
        <w:trPr>
          <w:cantSplit/>
        </w:trPr>
        <w:tc>
          <w:tcPr>
            <w:tcW w:type="dxa" w:w="2880"/>
            <w:vAlign w:val="center"/>
            <w:shd w:fill="FFFFFF"/>
          </w:tcPr>
          <w:p>
            <w:pPr>
              <w:spacing w:after="0" w:line="245" w:lineRule="auto"/>
            </w:pPr>
            <w:r>
              <w:rPr>
                <w:b w:val="0"/>
                <w:i w:val="0"/>
                <w:color w:val="000000"/>
                <w:sz w:val="18"/>
              </w:rPr>
              <w:t>Search terms</w:t>
            </w:r>
          </w:p>
        </w:tc>
        <w:tc>
          <w:tcPr>
            <w:tcW w:type="dxa" w:w="7488"/>
            <w:vAlign w:val="center"/>
            <w:shd w:fill="FFFFFF"/>
          </w:tcPr>
          <w:p>
            <w:pPr>
              <w:spacing w:after="0" w:line="245" w:lineRule="auto"/>
            </w:pPr>
            <w:r>
              <w:rPr>
                <w:b w:val="0"/>
                <w:i w:val="0"/>
                <w:color w:val="000000"/>
                <w:sz w:val="18"/>
              </w:rPr>
              <w:t>enterprise AR headset · industrial AR glasses · HoloLens 2 alternative · optical see-through AR · mixed reality headset industrial · OpenXR AR headset · IP65 AR headset · remote assistance headset</w:t>
            </w:r>
          </w:p>
        </w:tc>
      </w:tr>
      <w:tr>
        <w:trPr>
          <w:cantSplit/>
        </w:trPr>
        <w:tc>
          <w:tcPr>
            <w:tcW w:type="dxa" w:w="2880"/>
            <w:vAlign w:val="center"/>
            <w:shd w:fill="F4F7F9"/>
          </w:tcPr>
          <w:p>
            <w:pPr>
              <w:spacing w:after="0" w:line="245" w:lineRule="auto"/>
            </w:pPr>
            <w:r>
              <w:rPr>
                <w:b w:val="0"/>
                <w:i w:val="0"/>
                <w:color w:val="000000"/>
                <w:sz w:val="18"/>
              </w:rPr>
              <w:t>Image alt text</w:t>
            </w:r>
          </w:p>
        </w:tc>
        <w:tc>
          <w:tcPr>
            <w:tcW w:type="dxa" w:w="7488"/>
            <w:vAlign w:val="center"/>
            <w:shd w:fill="F4F7F9"/>
          </w:tcPr>
          <w:p>
            <w:pPr>
              <w:spacing w:after="0" w:line="245" w:lineRule="auto"/>
            </w:pPr>
            <w:r>
              <w:rPr>
                <w:b w:val="0"/>
                <w:i w:val="0"/>
                <w:color w:val="000000"/>
                <w:sz w:val="18"/>
              </w:rPr>
              <w:t>HMS SiNGRAY G2 optical see-through enterprise AR headset</w:t>
            </w:r>
          </w:p>
        </w:tc>
      </w:tr>
    </w:tbl>
    <w:p>
      <w:pPr>
        <w:spacing w:after="20"/>
      </w:pPr>
    </w:p>
    <w:p>
      <w:pPr>
        <w:pStyle w:val="Heading2"/>
      </w:pPr>
      <w:r>
        <w:t>6 Supporting images and videos</w:t>
      </w:r>
    </w:p>
    <w:p>
      <w:pPr>
        <w:pStyle w:val="Heading3"/>
      </w:pPr>
      <w:r>
        <w:t>6.1 Product images</w:t>
      </w:r>
    </w:p>
    <w:p>
      <w:r>
        <w:rPr>
          <w:b w:val="0"/>
          <w:i w:val="0"/>
        </w:rPr>
        <w:t>Eleven product renders are supplied at full resolution in G2_Product_Images.zip. Left and right are from the wearer's perspective. Images may be cropped and resized; please do not recolor, add effects, composite onto another product or generate alternative product imagery.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504"/>
        <w:gridCol w:w="2880"/>
        <w:gridCol w:w="3816"/>
        <w:gridCol w:w="3168"/>
      </w:tblGrid>
      <w:tr>
        <w:trPr>
          <w:cantSplit/>
          <w:tblHeader/>
        </w:trPr>
        <w:tc>
          <w:tcPr>
            <w:tcW w:type="dxa" w:w="504"/>
            <w:vAlign w:val="center"/>
            <w:shd w:fill="DCEAF0"/>
          </w:tcPr>
          <w:p>
            <w:pPr>
              <w:spacing w:after="0" w:line="245" w:lineRule="auto"/>
            </w:pPr>
            <w:r>
              <w:rPr>
                <w:b/>
                <w:i w:val="0"/>
                <w:color w:val="000000"/>
                <w:sz w:val="18"/>
              </w:rPr>
              <w:t>No.</w:t>
            </w:r>
          </w:p>
        </w:tc>
        <w:tc>
          <w:tcPr>
            <w:tcW w:type="dxa" w:w="2880"/>
            <w:vAlign w:val="center"/>
            <w:shd w:fill="DCEAF0"/>
          </w:tcPr>
          <w:p>
            <w:pPr>
              <w:spacing w:after="0" w:line="245" w:lineRule="auto"/>
            </w:pPr>
            <w:r>
              <w:rPr>
                <w:b/>
                <w:i w:val="0"/>
                <w:color w:val="000000"/>
                <w:sz w:val="18"/>
              </w:rPr>
              <w:t>File</w:t>
            </w:r>
          </w:p>
        </w:tc>
        <w:tc>
          <w:tcPr>
            <w:tcW w:type="dxa" w:w="3816"/>
            <w:vAlign w:val="center"/>
            <w:shd w:fill="DCEAF0"/>
          </w:tcPr>
          <w:p>
            <w:pPr>
              <w:spacing w:after="0" w:line="245" w:lineRule="auto"/>
            </w:pPr>
            <w:r>
              <w:rPr>
                <w:b/>
                <w:i w:val="0"/>
                <w:color w:val="000000"/>
                <w:sz w:val="18"/>
              </w:rPr>
              <w:t>Suggested use</w:t>
            </w:r>
          </w:p>
        </w:tc>
        <w:tc>
          <w:tcPr>
            <w:tcW w:type="dxa" w:w="3168"/>
            <w:vAlign w:val="center"/>
            <w:shd w:fill="DCEAF0"/>
          </w:tcPr>
          <w:p>
            <w:pPr>
              <w:spacing w:after="0" w:line="245" w:lineRule="auto"/>
            </w:pPr>
            <w:r>
              <w:rPr>
                <w:b/>
                <w:i w:val="0"/>
                <w:color w:val="000000"/>
                <w:sz w:val="18"/>
              </w:rPr>
              <w:t>Alt text</w:t>
            </w:r>
          </w:p>
        </w:tc>
      </w:tr>
      <w:tr>
        <w:trPr>
          <w:cantSplit/>
        </w:trPr>
        <w:tc>
          <w:tcPr>
            <w:tcW w:type="dxa" w:w="504"/>
            <w:vAlign w:val="center"/>
            <w:shd w:fill="FFFFFF"/>
          </w:tcPr>
          <w:p>
            <w:pPr>
              <w:spacing w:after="0" w:line="245" w:lineRule="auto"/>
            </w:pPr>
            <w:r>
              <w:rPr>
                <w:b w:val="0"/>
                <w:i w:val="0"/>
                <w:color w:val="000000"/>
                <w:sz w:val="18"/>
              </w:rPr>
              <w:t>01</w:t>
            </w:r>
          </w:p>
        </w:tc>
        <w:tc>
          <w:tcPr>
            <w:tcW w:type="dxa" w:w="2880"/>
            <w:vAlign w:val="center"/>
            <w:shd w:fill="FFFFFF"/>
          </w:tcPr>
          <w:p>
            <w:pPr>
              <w:spacing w:after="0" w:line="245" w:lineRule="auto"/>
            </w:pPr>
            <w:r>
              <w:rPr>
                <w:b w:val="0"/>
                <w:i w:val="0"/>
                <w:color w:val="000000"/>
                <w:sz w:val="18"/>
              </w:rPr>
              <w:t>01_G2_Front_View.png</w:t>
            </w:r>
          </w:p>
        </w:tc>
        <w:tc>
          <w:tcPr>
            <w:tcW w:type="dxa" w:w="3816"/>
            <w:vAlign w:val="center"/>
            <w:shd w:fill="FFFFFF"/>
          </w:tcPr>
          <w:p>
            <w:pPr>
              <w:spacing w:after="0" w:line="245" w:lineRule="auto"/>
            </w:pPr>
            <w:r>
              <w:rPr>
                <w:b w:val="0"/>
                <w:i w:val="0"/>
                <w:color w:val="000000"/>
                <w:sz w:val="18"/>
              </w:rPr>
              <w:t>Main product image; catalog tile</w:t>
            </w:r>
          </w:p>
        </w:tc>
        <w:tc>
          <w:tcPr>
            <w:tcW w:type="dxa" w:w="3168"/>
            <w:vAlign w:val="center"/>
            <w:shd w:fill="FFFFFF"/>
          </w:tcPr>
          <w:p>
            <w:pPr>
              <w:spacing w:after="0" w:line="245" w:lineRule="auto"/>
            </w:pPr>
            <w:r>
              <w:rPr>
                <w:b w:val="0"/>
                <w:i w:val="0"/>
                <w:color w:val="000000"/>
                <w:sz w:val="18"/>
              </w:rPr>
              <w:t>HMS SiNGRAY G2 — front view</w:t>
            </w:r>
          </w:p>
        </w:tc>
      </w:tr>
      <w:tr>
        <w:trPr>
          <w:cantSplit/>
        </w:trPr>
        <w:tc>
          <w:tcPr>
            <w:tcW w:type="dxa" w:w="504"/>
            <w:vAlign w:val="center"/>
            <w:shd w:fill="F4F7F9"/>
          </w:tcPr>
          <w:p>
            <w:pPr>
              <w:spacing w:after="0" w:line="245" w:lineRule="auto"/>
            </w:pPr>
            <w:r>
              <w:rPr>
                <w:b w:val="0"/>
                <w:i w:val="0"/>
                <w:color w:val="000000"/>
                <w:sz w:val="18"/>
              </w:rPr>
              <w:t>02</w:t>
            </w:r>
          </w:p>
        </w:tc>
        <w:tc>
          <w:tcPr>
            <w:tcW w:type="dxa" w:w="2880"/>
            <w:vAlign w:val="center"/>
            <w:shd w:fill="F4F7F9"/>
          </w:tcPr>
          <w:p>
            <w:pPr>
              <w:spacing w:after="0" w:line="245" w:lineRule="auto"/>
            </w:pPr>
            <w:r>
              <w:rPr>
                <w:b w:val="0"/>
                <w:i w:val="0"/>
                <w:color w:val="000000"/>
                <w:sz w:val="18"/>
              </w:rPr>
              <w:t>02_G2_Front_Three_Quarter_View_A.png</w:t>
            </w:r>
          </w:p>
        </w:tc>
        <w:tc>
          <w:tcPr>
            <w:tcW w:type="dxa" w:w="3816"/>
            <w:vAlign w:val="center"/>
            <w:shd w:fill="F4F7F9"/>
          </w:tcPr>
          <w:p>
            <w:pPr>
              <w:spacing w:after="0" w:line="245" w:lineRule="auto"/>
            </w:pPr>
            <w:r>
              <w:rPr>
                <w:b w:val="0"/>
                <w:i w:val="0"/>
                <w:color w:val="000000"/>
                <w:sz w:val="18"/>
              </w:rPr>
              <w:t>Hero image; product page</w:t>
            </w:r>
          </w:p>
        </w:tc>
        <w:tc>
          <w:tcPr>
            <w:tcW w:type="dxa" w:w="3168"/>
            <w:vAlign w:val="center"/>
            <w:shd w:fill="F4F7F9"/>
          </w:tcPr>
          <w:p>
            <w:pPr>
              <w:spacing w:after="0" w:line="245" w:lineRule="auto"/>
            </w:pPr>
            <w:r>
              <w:rPr>
                <w:b w:val="0"/>
                <w:i w:val="0"/>
                <w:color w:val="000000"/>
                <w:sz w:val="18"/>
              </w:rPr>
              <w:t>HMS SiNGRAY G2 — front three-quarter view</w:t>
            </w:r>
          </w:p>
        </w:tc>
      </w:tr>
      <w:tr>
        <w:trPr>
          <w:cantSplit/>
        </w:trPr>
        <w:tc>
          <w:tcPr>
            <w:tcW w:type="dxa" w:w="504"/>
            <w:vAlign w:val="center"/>
            <w:shd w:fill="FFFFFF"/>
          </w:tcPr>
          <w:p>
            <w:pPr>
              <w:spacing w:after="0" w:line="245" w:lineRule="auto"/>
            </w:pPr>
            <w:r>
              <w:rPr>
                <w:b w:val="0"/>
                <w:i w:val="0"/>
                <w:color w:val="000000"/>
                <w:sz w:val="18"/>
              </w:rPr>
              <w:t>03</w:t>
            </w:r>
          </w:p>
        </w:tc>
        <w:tc>
          <w:tcPr>
            <w:tcW w:type="dxa" w:w="2880"/>
            <w:vAlign w:val="center"/>
            <w:shd w:fill="FFFFFF"/>
          </w:tcPr>
          <w:p>
            <w:pPr>
              <w:spacing w:after="0" w:line="245" w:lineRule="auto"/>
            </w:pPr>
            <w:r>
              <w:rPr>
                <w:b w:val="0"/>
                <w:i w:val="0"/>
                <w:color w:val="000000"/>
                <w:sz w:val="18"/>
              </w:rPr>
              <w:t>03_G2_Front_Three_Quarter_View_B.png</w:t>
            </w:r>
          </w:p>
        </w:tc>
        <w:tc>
          <w:tcPr>
            <w:tcW w:type="dxa" w:w="3816"/>
            <w:vAlign w:val="center"/>
            <w:shd w:fill="FFFFFF"/>
          </w:tcPr>
          <w:p>
            <w:pPr>
              <w:spacing w:after="0" w:line="245" w:lineRule="auto"/>
            </w:pPr>
            <w:r>
              <w:rPr>
                <w:b w:val="0"/>
                <w:i w:val="0"/>
                <w:color w:val="000000"/>
                <w:sz w:val="18"/>
              </w:rPr>
              <w:t>Gallery</w:t>
            </w:r>
          </w:p>
        </w:tc>
        <w:tc>
          <w:tcPr>
            <w:tcW w:type="dxa" w:w="3168"/>
            <w:vAlign w:val="center"/>
            <w:shd w:fill="FFFFFF"/>
          </w:tcPr>
          <w:p>
            <w:pPr>
              <w:spacing w:after="0" w:line="245" w:lineRule="auto"/>
            </w:pPr>
            <w:r>
              <w:rPr>
                <w:b w:val="0"/>
                <w:i w:val="0"/>
                <w:color w:val="000000"/>
                <w:sz w:val="18"/>
              </w:rPr>
              <w:t>HMS SiNGRAY G2 — front three-quarter view</w:t>
            </w:r>
          </w:p>
        </w:tc>
      </w:tr>
      <w:tr>
        <w:trPr>
          <w:cantSplit/>
        </w:trPr>
        <w:tc>
          <w:tcPr>
            <w:tcW w:type="dxa" w:w="504"/>
            <w:vAlign w:val="center"/>
            <w:shd w:fill="F4F7F9"/>
          </w:tcPr>
          <w:p>
            <w:pPr>
              <w:spacing w:after="0" w:line="245" w:lineRule="auto"/>
            </w:pPr>
            <w:r>
              <w:rPr>
                <w:b w:val="0"/>
                <w:i w:val="0"/>
                <w:color w:val="000000"/>
                <w:sz w:val="18"/>
              </w:rPr>
              <w:t>04</w:t>
            </w:r>
          </w:p>
        </w:tc>
        <w:tc>
          <w:tcPr>
            <w:tcW w:type="dxa" w:w="2880"/>
            <w:vAlign w:val="center"/>
            <w:shd w:fill="F4F7F9"/>
          </w:tcPr>
          <w:p>
            <w:pPr>
              <w:spacing w:after="0" w:line="245" w:lineRule="auto"/>
            </w:pPr>
            <w:r>
              <w:rPr>
                <w:b w:val="0"/>
                <w:i w:val="0"/>
                <w:color w:val="000000"/>
                <w:sz w:val="18"/>
              </w:rPr>
              <w:t>04_G2_Right_Side_View_A.png</w:t>
            </w:r>
          </w:p>
        </w:tc>
        <w:tc>
          <w:tcPr>
            <w:tcW w:type="dxa" w:w="3816"/>
            <w:vAlign w:val="center"/>
            <w:shd w:fill="F4F7F9"/>
          </w:tcPr>
          <w:p>
            <w:pPr>
              <w:spacing w:after="0" w:line="245" w:lineRule="auto"/>
            </w:pPr>
            <w:r>
              <w:rPr>
                <w:b w:val="0"/>
                <w:i w:val="0"/>
                <w:color w:val="000000"/>
                <w:sz w:val="18"/>
              </w:rPr>
              <w:t>Gallery; feature call-outs</w:t>
            </w:r>
          </w:p>
        </w:tc>
        <w:tc>
          <w:tcPr>
            <w:tcW w:type="dxa" w:w="3168"/>
            <w:vAlign w:val="center"/>
            <w:shd w:fill="F4F7F9"/>
          </w:tcPr>
          <w:p>
            <w:pPr>
              <w:spacing w:after="0" w:line="245" w:lineRule="auto"/>
            </w:pPr>
            <w:r>
              <w:rPr>
                <w:b w:val="0"/>
                <w:i w:val="0"/>
                <w:color w:val="000000"/>
                <w:sz w:val="18"/>
              </w:rPr>
              <w:t>HMS SiNGRAY G2 — right side view</w:t>
            </w:r>
          </w:p>
        </w:tc>
      </w:tr>
      <w:tr>
        <w:trPr>
          <w:cantSplit/>
        </w:trPr>
        <w:tc>
          <w:tcPr>
            <w:tcW w:type="dxa" w:w="504"/>
            <w:vAlign w:val="center"/>
            <w:shd w:fill="FFFFFF"/>
          </w:tcPr>
          <w:p>
            <w:pPr>
              <w:spacing w:after="0" w:line="245" w:lineRule="auto"/>
            </w:pPr>
            <w:r>
              <w:rPr>
                <w:b w:val="0"/>
                <w:i w:val="0"/>
                <w:color w:val="000000"/>
                <w:sz w:val="18"/>
              </w:rPr>
              <w:t>05</w:t>
            </w:r>
          </w:p>
        </w:tc>
        <w:tc>
          <w:tcPr>
            <w:tcW w:type="dxa" w:w="2880"/>
            <w:vAlign w:val="center"/>
            <w:shd w:fill="FFFFFF"/>
          </w:tcPr>
          <w:p>
            <w:pPr>
              <w:spacing w:after="0" w:line="245" w:lineRule="auto"/>
            </w:pPr>
            <w:r>
              <w:rPr>
                <w:b w:val="0"/>
                <w:i w:val="0"/>
                <w:color w:val="000000"/>
                <w:sz w:val="18"/>
              </w:rPr>
              <w:t>05_G2_Right_Side_View_B.png</w:t>
            </w:r>
          </w:p>
        </w:tc>
        <w:tc>
          <w:tcPr>
            <w:tcW w:type="dxa" w:w="3816"/>
            <w:vAlign w:val="center"/>
            <w:shd w:fill="FFFFFF"/>
          </w:tcPr>
          <w:p>
            <w:pPr>
              <w:spacing w:after="0" w:line="245" w:lineRule="auto"/>
            </w:pPr>
            <w:r>
              <w:rPr>
                <w:b w:val="0"/>
                <w:i w:val="0"/>
                <w:color w:val="000000"/>
                <w:sz w:val="18"/>
              </w:rPr>
              <w:t>Gallery</w:t>
            </w:r>
          </w:p>
        </w:tc>
        <w:tc>
          <w:tcPr>
            <w:tcW w:type="dxa" w:w="3168"/>
            <w:vAlign w:val="center"/>
            <w:shd w:fill="FFFFFF"/>
          </w:tcPr>
          <w:p>
            <w:pPr>
              <w:spacing w:after="0" w:line="245" w:lineRule="auto"/>
            </w:pPr>
            <w:r>
              <w:rPr>
                <w:b w:val="0"/>
                <w:i w:val="0"/>
                <w:color w:val="000000"/>
                <w:sz w:val="18"/>
              </w:rPr>
              <w:t>HMS SiNGRAY G2 — right side view</w:t>
            </w:r>
          </w:p>
        </w:tc>
      </w:tr>
      <w:tr>
        <w:trPr>
          <w:cantSplit/>
        </w:trPr>
        <w:tc>
          <w:tcPr>
            <w:tcW w:type="dxa" w:w="504"/>
            <w:vAlign w:val="center"/>
            <w:shd w:fill="F4F7F9"/>
          </w:tcPr>
          <w:p>
            <w:pPr>
              <w:spacing w:after="0" w:line="245" w:lineRule="auto"/>
            </w:pPr>
            <w:r>
              <w:rPr>
                <w:b w:val="0"/>
                <w:i w:val="0"/>
                <w:color w:val="000000"/>
                <w:sz w:val="18"/>
              </w:rPr>
              <w:t>06</w:t>
            </w:r>
          </w:p>
        </w:tc>
        <w:tc>
          <w:tcPr>
            <w:tcW w:type="dxa" w:w="2880"/>
            <w:vAlign w:val="center"/>
            <w:shd w:fill="F4F7F9"/>
          </w:tcPr>
          <w:p>
            <w:pPr>
              <w:spacing w:after="0" w:line="245" w:lineRule="auto"/>
            </w:pPr>
            <w:r>
              <w:rPr>
                <w:b w:val="0"/>
                <w:i w:val="0"/>
                <w:color w:val="000000"/>
                <w:sz w:val="18"/>
              </w:rPr>
              <w:t>06_G2_Left_Side_View_A.png</w:t>
            </w:r>
          </w:p>
        </w:tc>
        <w:tc>
          <w:tcPr>
            <w:tcW w:type="dxa" w:w="3816"/>
            <w:vAlign w:val="center"/>
            <w:shd w:fill="F4F7F9"/>
          </w:tcPr>
          <w:p>
            <w:pPr>
              <w:spacing w:after="0" w:line="245" w:lineRule="auto"/>
            </w:pPr>
            <w:r>
              <w:rPr>
                <w:b w:val="0"/>
                <w:i w:val="0"/>
                <w:color w:val="000000"/>
                <w:sz w:val="18"/>
              </w:rPr>
              <w:t>Gallery; battery and controller</w:t>
            </w:r>
          </w:p>
        </w:tc>
        <w:tc>
          <w:tcPr>
            <w:tcW w:type="dxa" w:w="3168"/>
            <w:vAlign w:val="center"/>
            <w:shd w:fill="F4F7F9"/>
          </w:tcPr>
          <w:p>
            <w:pPr>
              <w:spacing w:after="0" w:line="245" w:lineRule="auto"/>
            </w:pPr>
            <w:r>
              <w:rPr>
                <w:b w:val="0"/>
                <w:i w:val="0"/>
                <w:color w:val="000000"/>
                <w:sz w:val="18"/>
              </w:rPr>
              <w:t>HMS SiNGRAY G2 — left side view</w:t>
            </w:r>
          </w:p>
        </w:tc>
      </w:tr>
      <w:tr>
        <w:trPr>
          <w:cantSplit/>
        </w:trPr>
        <w:tc>
          <w:tcPr>
            <w:tcW w:type="dxa" w:w="504"/>
            <w:vAlign w:val="center"/>
            <w:shd w:fill="FFFFFF"/>
          </w:tcPr>
          <w:p>
            <w:pPr>
              <w:spacing w:after="0" w:line="245" w:lineRule="auto"/>
            </w:pPr>
            <w:r>
              <w:rPr>
                <w:b w:val="0"/>
                <w:i w:val="0"/>
                <w:color w:val="000000"/>
                <w:sz w:val="18"/>
              </w:rPr>
              <w:t>07</w:t>
            </w:r>
          </w:p>
        </w:tc>
        <w:tc>
          <w:tcPr>
            <w:tcW w:type="dxa" w:w="2880"/>
            <w:vAlign w:val="center"/>
            <w:shd w:fill="FFFFFF"/>
          </w:tcPr>
          <w:p>
            <w:pPr>
              <w:spacing w:after="0" w:line="245" w:lineRule="auto"/>
            </w:pPr>
            <w:r>
              <w:rPr>
                <w:b w:val="0"/>
                <w:i w:val="0"/>
                <w:color w:val="000000"/>
                <w:sz w:val="18"/>
              </w:rPr>
              <w:t>07_G2_Left_Side_View_B.png</w:t>
            </w:r>
          </w:p>
        </w:tc>
        <w:tc>
          <w:tcPr>
            <w:tcW w:type="dxa" w:w="3816"/>
            <w:vAlign w:val="center"/>
            <w:shd w:fill="FFFFFF"/>
          </w:tcPr>
          <w:p>
            <w:pPr>
              <w:spacing w:after="0" w:line="245" w:lineRule="auto"/>
            </w:pPr>
            <w:r>
              <w:rPr>
                <w:b w:val="0"/>
                <w:i w:val="0"/>
                <w:color w:val="000000"/>
                <w:sz w:val="18"/>
              </w:rPr>
              <w:t>Gallery</w:t>
            </w:r>
          </w:p>
        </w:tc>
        <w:tc>
          <w:tcPr>
            <w:tcW w:type="dxa" w:w="3168"/>
            <w:vAlign w:val="center"/>
            <w:shd w:fill="FFFFFF"/>
          </w:tcPr>
          <w:p>
            <w:pPr>
              <w:spacing w:after="0" w:line="245" w:lineRule="auto"/>
            </w:pPr>
            <w:r>
              <w:rPr>
                <w:b w:val="0"/>
                <w:i w:val="0"/>
                <w:color w:val="000000"/>
                <w:sz w:val="18"/>
              </w:rPr>
              <w:t>HMS SiNGRAY G2 — left side view</w:t>
            </w:r>
          </w:p>
        </w:tc>
      </w:tr>
      <w:tr>
        <w:trPr>
          <w:cantSplit/>
        </w:trPr>
        <w:tc>
          <w:tcPr>
            <w:tcW w:type="dxa" w:w="504"/>
            <w:vAlign w:val="center"/>
            <w:shd w:fill="F4F7F9"/>
          </w:tcPr>
          <w:p>
            <w:pPr>
              <w:spacing w:after="0" w:line="245" w:lineRule="auto"/>
            </w:pPr>
            <w:r>
              <w:rPr>
                <w:b w:val="0"/>
                <w:i w:val="0"/>
                <w:color w:val="000000"/>
                <w:sz w:val="18"/>
              </w:rPr>
              <w:t>08</w:t>
            </w:r>
          </w:p>
        </w:tc>
        <w:tc>
          <w:tcPr>
            <w:tcW w:type="dxa" w:w="2880"/>
            <w:vAlign w:val="center"/>
            <w:shd w:fill="F4F7F9"/>
          </w:tcPr>
          <w:p>
            <w:pPr>
              <w:spacing w:after="0" w:line="245" w:lineRule="auto"/>
            </w:pPr>
            <w:r>
              <w:rPr>
                <w:b w:val="0"/>
                <w:i w:val="0"/>
                <w:color w:val="000000"/>
                <w:sz w:val="18"/>
              </w:rPr>
              <w:t>08_G2_Left_Side_View_C.png</w:t>
            </w:r>
          </w:p>
        </w:tc>
        <w:tc>
          <w:tcPr>
            <w:tcW w:type="dxa" w:w="3816"/>
            <w:vAlign w:val="center"/>
            <w:shd w:fill="F4F7F9"/>
          </w:tcPr>
          <w:p>
            <w:pPr>
              <w:spacing w:after="0" w:line="245" w:lineRule="auto"/>
            </w:pPr>
            <w:r>
              <w:rPr>
                <w:b w:val="0"/>
                <w:i w:val="0"/>
                <w:color w:val="000000"/>
                <w:sz w:val="18"/>
              </w:rPr>
              <w:t>Gallery</w:t>
            </w:r>
          </w:p>
        </w:tc>
        <w:tc>
          <w:tcPr>
            <w:tcW w:type="dxa" w:w="3168"/>
            <w:vAlign w:val="center"/>
            <w:shd w:fill="F4F7F9"/>
          </w:tcPr>
          <w:p>
            <w:pPr>
              <w:spacing w:after="0" w:line="245" w:lineRule="auto"/>
            </w:pPr>
            <w:r>
              <w:rPr>
                <w:b w:val="0"/>
                <w:i w:val="0"/>
                <w:color w:val="000000"/>
                <w:sz w:val="18"/>
              </w:rPr>
              <w:t>HMS SiNGRAY G2 — left side view</w:t>
            </w:r>
          </w:p>
        </w:tc>
      </w:tr>
      <w:tr>
        <w:trPr>
          <w:cantSplit/>
        </w:trPr>
        <w:tc>
          <w:tcPr>
            <w:tcW w:type="dxa" w:w="504"/>
            <w:vAlign w:val="center"/>
            <w:shd w:fill="FFFFFF"/>
          </w:tcPr>
          <w:p>
            <w:pPr>
              <w:spacing w:after="0" w:line="245" w:lineRule="auto"/>
            </w:pPr>
            <w:r>
              <w:rPr>
                <w:b w:val="0"/>
                <w:i w:val="0"/>
                <w:color w:val="000000"/>
                <w:sz w:val="18"/>
              </w:rPr>
              <w:t>09</w:t>
            </w:r>
          </w:p>
        </w:tc>
        <w:tc>
          <w:tcPr>
            <w:tcW w:type="dxa" w:w="2880"/>
            <w:vAlign w:val="center"/>
            <w:shd w:fill="FFFFFF"/>
          </w:tcPr>
          <w:p>
            <w:pPr>
              <w:spacing w:after="0" w:line="245" w:lineRule="auto"/>
            </w:pPr>
            <w:r>
              <w:rPr>
                <w:b w:val="0"/>
                <w:i w:val="0"/>
                <w:color w:val="000000"/>
                <w:sz w:val="18"/>
              </w:rPr>
              <w:t>09_G2_Rear_View_A.png</w:t>
            </w:r>
          </w:p>
        </w:tc>
        <w:tc>
          <w:tcPr>
            <w:tcW w:type="dxa" w:w="3816"/>
            <w:vAlign w:val="center"/>
            <w:shd w:fill="FFFFFF"/>
          </w:tcPr>
          <w:p>
            <w:pPr>
              <w:spacing w:after="0" w:line="245" w:lineRule="auto"/>
            </w:pPr>
            <w:r>
              <w:rPr>
                <w:b w:val="0"/>
                <w:i w:val="0"/>
                <w:color w:val="000000"/>
                <w:sz w:val="18"/>
              </w:rPr>
              <w:t>Gallery; headband and battery</w:t>
            </w:r>
          </w:p>
        </w:tc>
        <w:tc>
          <w:tcPr>
            <w:tcW w:type="dxa" w:w="3168"/>
            <w:vAlign w:val="center"/>
            <w:shd w:fill="FFFFFF"/>
          </w:tcPr>
          <w:p>
            <w:pPr>
              <w:spacing w:after="0" w:line="245" w:lineRule="auto"/>
            </w:pPr>
            <w:r>
              <w:rPr>
                <w:b w:val="0"/>
                <w:i w:val="0"/>
                <w:color w:val="000000"/>
                <w:sz w:val="18"/>
              </w:rPr>
              <w:t>HMS SiNGRAY G2 — rear view</w:t>
            </w:r>
          </w:p>
        </w:tc>
      </w:tr>
      <w:tr>
        <w:trPr>
          <w:cantSplit/>
        </w:trPr>
        <w:tc>
          <w:tcPr>
            <w:tcW w:type="dxa" w:w="504"/>
            <w:vAlign w:val="center"/>
            <w:shd w:fill="F4F7F9"/>
          </w:tcPr>
          <w:p>
            <w:pPr>
              <w:spacing w:after="0" w:line="245" w:lineRule="auto"/>
            </w:pPr>
            <w:r>
              <w:rPr>
                <w:b w:val="0"/>
                <w:i w:val="0"/>
                <w:color w:val="000000"/>
                <w:sz w:val="18"/>
              </w:rPr>
              <w:t>10</w:t>
            </w:r>
          </w:p>
        </w:tc>
        <w:tc>
          <w:tcPr>
            <w:tcW w:type="dxa" w:w="2880"/>
            <w:vAlign w:val="center"/>
            <w:shd w:fill="F4F7F9"/>
          </w:tcPr>
          <w:p>
            <w:pPr>
              <w:spacing w:after="0" w:line="245" w:lineRule="auto"/>
            </w:pPr>
            <w:r>
              <w:rPr>
                <w:b w:val="0"/>
                <w:i w:val="0"/>
                <w:color w:val="000000"/>
                <w:sz w:val="18"/>
              </w:rPr>
              <w:t>10_G2_Rear_View_B.png</w:t>
            </w:r>
          </w:p>
        </w:tc>
        <w:tc>
          <w:tcPr>
            <w:tcW w:type="dxa" w:w="3816"/>
            <w:vAlign w:val="center"/>
            <w:shd w:fill="F4F7F9"/>
          </w:tcPr>
          <w:p>
            <w:pPr>
              <w:spacing w:after="0" w:line="245" w:lineRule="auto"/>
            </w:pPr>
            <w:r>
              <w:rPr>
                <w:b w:val="0"/>
                <w:i w:val="0"/>
                <w:color w:val="000000"/>
                <w:sz w:val="18"/>
              </w:rPr>
              <w:t>Gallery</w:t>
            </w:r>
          </w:p>
        </w:tc>
        <w:tc>
          <w:tcPr>
            <w:tcW w:type="dxa" w:w="3168"/>
            <w:vAlign w:val="center"/>
            <w:shd w:fill="F4F7F9"/>
          </w:tcPr>
          <w:p>
            <w:pPr>
              <w:spacing w:after="0" w:line="245" w:lineRule="auto"/>
            </w:pPr>
            <w:r>
              <w:rPr>
                <w:b w:val="0"/>
                <w:i w:val="0"/>
                <w:color w:val="000000"/>
                <w:sz w:val="18"/>
              </w:rPr>
              <w:t>HMS SiNGRAY G2 — rear view</w:t>
            </w:r>
          </w:p>
        </w:tc>
      </w:tr>
      <w:tr>
        <w:trPr>
          <w:cantSplit/>
        </w:trPr>
        <w:tc>
          <w:tcPr>
            <w:tcW w:type="dxa" w:w="504"/>
            <w:vAlign w:val="center"/>
            <w:shd w:fill="FFFFFF"/>
          </w:tcPr>
          <w:p>
            <w:pPr>
              <w:spacing w:after="0" w:line="245" w:lineRule="auto"/>
            </w:pPr>
            <w:r>
              <w:rPr>
                <w:b w:val="0"/>
                <w:i w:val="0"/>
                <w:color w:val="000000"/>
                <w:sz w:val="18"/>
              </w:rPr>
              <w:t>11</w:t>
            </w:r>
          </w:p>
        </w:tc>
        <w:tc>
          <w:tcPr>
            <w:tcW w:type="dxa" w:w="2880"/>
            <w:vAlign w:val="center"/>
            <w:shd w:fill="FFFFFF"/>
          </w:tcPr>
          <w:p>
            <w:pPr>
              <w:spacing w:after="0" w:line="245" w:lineRule="auto"/>
            </w:pPr>
            <w:r>
              <w:rPr>
                <w:b w:val="0"/>
                <w:i w:val="0"/>
                <w:color w:val="000000"/>
                <w:sz w:val="18"/>
              </w:rPr>
              <w:t>11_G2_Top_View.png</w:t>
            </w:r>
          </w:p>
        </w:tc>
        <w:tc>
          <w:tcPr>
            <w:tcW w:type="dxa" w:w="3816"/>
            <w:vAlign w:val="center"/>
            <w:shd w:fill="FFFFFF"/>
          </w:tcPr>
          <w:p>
            <w:pPr>
              <w:spacing w:after="0" w:line="245" w:lineRule="auto"/>
            </w:pPr>
            <w:r>
              <w:rPr>
                <w:b w:val="0"/>
                <w:i w:val="0"/>
                <w:color w:val="000000"/>
                <w:sz w:val="18"/>
              </w:rPr>
              <w:t>Detail view</w:t>
            </w:r>
          </w:p>
        </w:tc>
        <w:tc>
          <w:tcPr>
            <w:tcW w:type="dxa" w:w="3168"/>
            <w:vAlign w:val="center"/>
            <w:shd w:fill="FFFFFF"/>
          </w:tcPr>
          <w:p>
            <w:pPr>
              <w:spacing w:after="0" w:line="245" w:lineRule="auto"/>
            </w:pPr>
            <w:r>
              <w:rPr>
                <w:b w:val="0"/>
                <w:i w:val="0"/>
                <w:color w:val="000000"/>
                <w:sz w:val="18"/>
              </w:rPr>
              <w:t>HMS SiNGRAY G2 — top view</w:t>
            </w:r>
          </w:p>
        </w:tc>
      </w:tr>
    </w:tbl>
    <w:p>
      <w:pPr>
        <w:spacing w:after="20"/>
      </w:pPr>
    </w:p>
    <w:p>
      <w:r>
        <w:rPr>
          <w:b w:val="0"/>
          <w:i w:val="0"/>
          <w:color w:val="555555"/>
          <w:sz w:val="18"/>
        </w:rPr>
        <w:t>Photography of the device worn and in use will be added to the image set.</w:t>
      </w:r>
    </w:p>
    <w:p>
      <w:pPr>
        <w:pStyle w:val="Heading3"/>
      </w:pPr>
      <w:r>
        <w:t>6.2 Video library</w:t>
      </w:r>
    </w:p>
    <w:p>
      <w:r>
        <w:rPr>
          <w:b w:val="0"/>
          <w:i w:val="0"/>
        </w:rPr>
        <w:t>Eight videos. Titles below are the display titles for partner use.</w:t>
      </w:r>
    </w:p>
    <w:p>
      <w:pPr>
        <w:spacing w:before="60"/>
      </w:pPr>
      <w:hyperlink r:id="rId11">
        <w:r>
          <w:rPr>
            <w:color w:val="175A72"/>
            <w:u w:val="single"/>
            <w:b/>
          </w:rPr>
          <w:t xml:space="preserve">Product introduction</w:t>
        </w:r>
      </w:hyperlink>
      <w:r>
        <w:t xml:space="preserve"> — Device overview and form factor. Use: Hero, social, email</w:t>
      </w:r>
    </w:p>
    <w:p>
      <w:pPr>
        <w:spacing w:before="60"/>
      </w:pPr>
      <w:hyperlink r:id="rId12">
        <w:r>
          <w:rPr>
            <w:color w:val="175A72"/>
            <w:u w:val="single"/>
            <w:b/>
          </w:rPr>
          <w:t xml:space="preserve">Product introduction (no subtitles)</w:t>
        </w:r>
      </w:hyperlink>
      <w:r>
        <w:t xml:space="preserve"> — Same footage for partner subtitling or voice-over. Use: Localization</w:t>
      </w:r>
    </w:p>
    <w:p>
      <w:pPr>
        <w:spacing w:before="60"/>
      </w:pPr>
      <w:hyperlink r:id="rId13">
        <w:r>
          <w:rPr>
            <w:color w:val="175A72"/>
            <w:u w:val="single"/>
            <w:b/>
          </w:rPr>
          <w:t xml:space="preserve">MRTK interaction</w:t>
        </w:r>
      </w:hyperlink>
      <w:r>
        <w:t xml:space="preserve"> — Interaction sample built with an MRTK-style toolkit. Use: Developer audiences</w:t>
      </w:r>
    </w:p>
    <w:p>
      <w:pPr>
        <w:spacing w:before="60"/>
      </w:pPr>
      <w:hyperlink r:id="rId14">
        <w:r>
          <w:rPr>
            <w:color w:val="175A72"/>
            <w:u w:val="single"/>
            <w:b/>
          </w:rPr>
          <w:t xml:space="preserve">Engine content</w:t>
        </w:r>
      </w:hyperlink>
      <w:r>
        <w:t xml:space="preserve"> — Engine-based application running on the device. Use: Spatial visualization</w:t>
      </w:r>
    </w:p>
    <w:p>
      <w:pPr>
        <w:spacing w:before="60"/>
      </w:pPr>
      <w:hyperlink r:id="rId15">
        <w:r>
          <w:rPr>
            <w:color w:val="175A72"/>
            <w:u w:val="single"/>
            <w:b/>
          </w:rPr>
          <w:t xml:space="preserve">Spatial content</w:t>
        </w:r>
      </w:hyperlink>
      <w:r>
        <w:t xml:space="preserve"> — Spatial content presented in the workspace. Use: Spatial visualization</w:t>
      </w:r>
    </w:p>
    <w:p>
      <w:pPr>
        <w:spacing w:before="60"/>
      </w:pPr>
      <w:hyperlink r:id="rId16">
        <w:r>
          <w:rPr>
            <w:color w:val="175A72"/>
            <w:u w:val="single"/>
            <w:b/>
          </w:rPr>
          <w:t xml:space="preserve">Medical application example</w:t>
        </w:r>
      </w:hyperlink>
      <w:r>
        <w:t xml:space="preserve"> — Application example in a medical context. Use: Medical partners; training</w:t>
      </w:r>
    </w:p>
    <w:p>
      <w:pPr>
        <w:spacing w:before="60"/>
      </w:pPr>
      <w:hyperlink r:id="rId17">
        <w:r>
          <w:rPr>
            <w:color w:val="175A72"/>
            <w:u w:val="single"/>
            <w:b/>
          </w:rPr>
          <w:t xml:space="preserve">3D model alignment</w:t>
        </w:r>
      </w:hyperlink>
      <w:r>
        <w:t xml:space="preserve"> — Aligning a 3D model to a physical object. Use: Guided work; inspection</w:t>
      </w:r>
    </w:p>
    <w:p>
      <w:pPr>
        <w:spacing w:before="60"/>
      </w:pPr>
      <w:hyperlink r:id="rId18">
        <w:r>
          <w:rPr>
            <w:color w:val="175A72"/>
            <w:u w:val="single"/>
            <w:b/>
          </w:rPr>
          <w:t xml:space="preserve">Spatial anchor</w:t>
        </w:r>
      </w:hyperlink>
      <w:r>
        <w:t xml:space="preserve"> — Spatial anchoring behavior on the device. Use: Technical audiences; tracking</w:t>
      </w:r>
    </w:p>
    <w:p>
      <w:r>
        <w:rPr>
          <w:b w:val="0"/>
          <w:i w:val="0"/>
          <w:color w:val="555555"/>
          <w:sz w:val="18"/>
        </w:rPr>
        <w:t>Google Drive links may be blocked on some corporate networks. Downloadable copies are available from HMS on request.</w:t>
      </w:r>
    </w:p>
    <w:p>
      <w:pPr>
        <w:pStyle w:val="Heading3"/>
      </w:pPr>
      <w:r>
        <w:t>6.3 Developer resources</w:t>
      </w:r>
    </w:p>
    <w:p>
      <w:r>
        <w:rPr>
          <w:b w:val="0"/>
          <w:i w:val="0"/>
        </w:rPr>
        <w:t>Developer documentation and SDK access are provided by HMS. Contact ar-support@hms-global.com with the project, the intended development environment and the team that will receive access.</w:t>
      </w:r>
    </w:p>
    <w:p>
      <w:pPr>
        <w:pStyle w:val="Heading3"/>
      </w:pPr>
      <w:r>
        <w:t>6.4 Logo and naming</w:t>
      </w:r>
    </w:p>
    <w:p>
      <w:pPr>
        <w:pStyle w:val="ListBullet"/>
      </w:pPr>
      <w:r>
        <w:rPr>
          <w:b w:val="0"/>
          <w:i w:val="0"/>
        </w:rPr>
        <w:t>HMS logo: request the approved PNG and SVG files from ar-support@hms-global.com. Use it as supplied — do not recolor it, re-set it as type or remove the two leading dots.</w:t>
      </w:r>
    </w:p>
    <w:p>
      <w:pPr>
        <w:pStyle w:val="ListBullet"/>
      </w:pPr>
      <w:r>
        <w:rPr>
          <w:b w:val="0"/>
          <w:i w:val="0"/>
        </w:rPr>
        <w:t>Product name: SiNGRAY G2. Company name: HMS Inc.</w:t>
      </w:r>
    </w:p>
    <w:p>
      <w:pPr>
        <w:pStyle w:val="ListBullet"/>
      </w:pPr>
      <w:r>
        <w:rPr>
          <w:b w:val="0"/>
          <w:i w:val="0"/>
        </w:rPr>
        <w:t>Co-branded lockups are prepared on request — send your logo in SVG to ar-support@hms-global.com.</w:t>
      </w:r>
    </w:p>
    <w:p>
      <w:pPr>
        <w:pStyle w:val="Heading2"/>
      </w:pPr>
      <w:r>
        <w:t>7 About HMS</w:t>
      </w:r>
    </w:p>
    <w:p>
      <w:pPr>
        <w:pStyle w:val="Heading3"/>
      </w:pPr>
      <w:r>
        <w:t>7.1 Company introduction</w:t>
      </w:r>
    </w:p>
    <w:p>
      <w:pPr>
        <w:pStyle w:val="Heading4"/>
      </w:pPr>
      <w:r>
        <w:t>Short (about 50 words)</w:t>
      </w:r>
    </w:p>
    <w:p>
      <w:r>
        <w:rPr>
          <w:b w:val="0"/>
          <w:i w:val="0"/>
        </w:rPr>
        <w:t>HMS Inc. develops edge AI solutions, smart vision systems and enterprise-grade AR devices, backed by Japanese engineering and volume-production experience. The company was founded in 2018 and is headquartered in Fukuoka, Japan, with development teams in Shanghai and France. SiNGRAY G2 is its standalone optical see-through enterprise AR headset.</w:t>
      </w:r>
    </w:p>
    <w:p>
      <w:pPr>
        <w:pStyle w:val="Heading4"/>
      </w:pPr>
      <w:r>
        <w:t>Standard (about 110 words)</w:t>
      </w:r>
    </w:p>
    <w:p>
      <w:r>
        <w:rPr>
          <w:b w:val="0"/>
          <w:i w:val="0"/>
        </w:rPr>
        <w:t>HMS Inc. develops edge AI solutions, smart vision systems and enterprise-grade AR devices, backed by Japanese engineering and volume-production experience. Founded in 2018 and headquartered in Fukuoka, Japan, HMS came to AR from industrial imaging, spatial sensing and inspection. The company works across the stack, from spatial sensing and visual SLAM through edge AI to the devices themselves and the SiNGRAYNET edge-cloud platform. Across seven years of Japanese volume production and five generations of AR hardware, HMS has shipped more than 32,000 edge AI camera units into production environments, serving customers in industrial imaging and automation. Manufacturing and country-of-origin information for a specific order is available from HMS.</w:t>
      </w:r>
    </w:p>
    <w:p>
      <w:pPr>
        <w:pStyle w:val="Heading3"/>
      </w:pPr>
      <w:r>
        <w:t>7.2 Product lines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880"/>
        <w:gridCol w:w="7488"/>
      </w:tblGrid>
      <w:tr>
        <w:trPr>
          <w:cantSplit/>
          <w:tblHeader/>
        </w:trPr>
        <w:tc>
          <w:tcPr>
            <w:tcW w:type="dxa" w:w="2880"/>
            <w:vAlign w:val="center"/>
            <w:shd w:fill="DCEAF0"/>
          </w:tcPr>
          <w:p>
            <w:pPr>
              <w:spacing w:after="0" w:line="245" w:lineRule="auto"/>
            </w:pPr>
            <w:r>
              <w:rPr>
                <w:b/>
                <w:i w:val="0"/>
                <w:color w:val="000000"/>
                <w:sz w:val="18"/>
              </w:rPr>
              <w:t>Product line</w:t>
            </w:r>
          </w:p>
        </w:tc>
        <w:tc>
          <w:tcPr>
            <w:tcW w:type="dxa" w:w="7488"/>
            <w:vAlign w:val="center"/>
            <w:shd w:fill="DCEAF0"/>
          </w:tcPr>
          <w:p>
            <w:pPr>
              <w:spacing w:after="0" w:line="245" w:lineRule="auto"/>
            </w:pPr>
            <w:r>
              <w:rPr>
                <w:b/>
                <w:i w:val="0"/>
                <w:color w:val="000000"/>
                <w:sz w:val="18"/>
              </w:rPr>
              <w:t>Description</w:t>
            </w:r>
          </w:p>
        </w:tc>
      </w:tr>
      <w:tr>
        <w:trPr>
          <w:cantSplit/>
        </w:trPr>
        <w:tc>
          <w:tcPr>
            <w:tcW w:type="dxa" w:w="2880"/>
            <w:vAlign w:val="center"/>
            <w:shd w:fill="FFFFFF"/>
          </w:tcPr>
          <w:p>
            <w:pPr>
              <w:spacing w:after="0" w:line="245" w:lineRule="auto"/>
            </w:pPr>
            <w:r>
              <w:rPr>
                <w:b w:val="0"/>
                <w:i w:val="0"/>
                <w:color w:val="000000"/>
                <w:sz w:val="18"/>
              </w:rPr>
              <w:t>SiNGRAY G2</w:t>
            </w:r>
          </w:p>
        </w:tc>
        <w:tc>
          <w:tcPr>
            <w:tcW w:type="dxa" w:w="7488"/>
            <w:vAlign w:val="center"/>
            <w:shd w:fill="FFFFFF"/>
          </w:tcPr>
          <w:p>
            <w:pPr>
              <w:spacing w:after="0" w:line="245" w:lineRule="auto"/>
            </w:pPr>
            <w:r>
              <w:rPr>
                <w:b w:val="0"/>
                <w:i w:val="0"/>
                <w:color w:val="000000"/>
                <w:sz w:val="18"/>
              </w:rPr>
              <w:t>Standalone binocular optical see-through enterprise AR headset. The subject of this pack.</w:t>
            </w:r>
          </w:p>
        </w:tc>
      </w:tr>
      <w:tr>
        <w:trPr>
          <w:cantSplit/>
        </w:trPr>
        <w:tc>
          <w:tcPr>
            <w:tcW w:type="dxa" w:w="2880"/>
            <w:vAlign w:val="center"/>
            <w:shd w:fill="F4F7F9"/>
          </w:tcPr>
          <w:p>
            <w:pPr>
              <w:spacing w:after="0" w:line="245" w:lineRule="auto"/>
            </w:pPr>
            <w:r>
              <w:rPr>
                <w:b w:val="0"/>
                <w:i w:val="0"/>
                <w:color w:val="000000"/>
                <w:sz w:val="18"/>
              </w:rPr>
              <w:t>SHG series</w:t>
            </w:r>
          </w:p>
        </w:tc>
        <w:tc>
          <w:tcPr>
            <w:tcW w:type="dxa" w:w="7488"/>
            <w:vAlign w:val="center"/>
            <w:shd w:fill="F4F7F9"/>
          </w:tcPr>
          <w:p>
            <w:pPr>
              <w:spacing w:after="0" w:line="245" w:lineRule="auto"/>
            </w:pPr>
            <w:r>
              <w:rPr>
                <w:b w:val="0"/>
                <w:i w:val="0"/>
                <w:color w:val="000000"/>
                <w:sz w:val="18"/>
              </w:rPr>
              <w:t>Helmet-integrated industrial smart headgear for first-person view, remote presence and safety monitoring.</w:t>
            </w:r>
          </w:p>
        </w:tc>
      </w:tr>
      <w:tr>
        <w:trPr>
          <w:cantSplit/>
        </w:trPr>
        <w:tc>
          <w:tcPr>
            <w:tcW w:type="dxa" w:w="2880"/>
            <w:vAlign w:val="center"/>
            <w:shd w:fill="FFFFFF"/>
          </w:tcPr>
          <w:p>
            <w:pPr>
              <w:spacing w:after="0" w:line="245" w:lineRule="auto"/>
            </w:pPr>
            <w:r>
              <w:rPr>
                <w:b w:val="0"/>
                <w:i w:val="0"/>
                <w:color w:val="000000"/>
                <w:sz w:val="18"/>
              </w:rPr>
              <w:t>DX series</w:t>
            </w:r>
          </w:p>
        </w:tc>
        <w:tc>
          <w:tcPr>
            <w:tcW w:type="dxa" w:w="7488"/>
            <w:vAlign w:val="center"/>
            <w:shd w:fill="FFFFFF"/>
          </w:tcPr>
          <w:p>
            <w:pPr>
              <w:spacing w:after="0" w:line="245" w:lineRule="auto"/>
            </w:pPr>
            <w:r>
              <w:rPr>
                <w:b w:val="0"/>
                <w:i w:val="0"/>
                <w:color w:val="000000"/>
                <w:sz w:val="18"/>
              </w:rPr>
              <w:t>Robot-vision smart cameras for factory automation and AMR, with edge AI inference.</w:t>
            </w:r>
          </w:p>
        </w:tc>
      </w:tr>
      <w:tr>
        <w:trPr>
          <w:cantSplit/>
        </w:trPr>
        <w:tc>
          <w:tcPr>
            <w:tcW w:type="dxa" w:w="2880"/>
            <w:vAlign w:val="center"/>
            <w:shd w:fill="F4F7F9"/>
          </w:tcPr>
          <w:p>
            <w:pPr>
              <w:spacing w:after="0" w:line="245" w:lineRule="auto"/>
            </w:pPr>
            <w:r>
              <w:rPr>
                <w:b w:val="0"/>
                <w:i w:val="0"/>
                <w:color w:val="000000"/>
                <w:sz w:val="18"/>
              </w:rPr>
              <w:t>SiNGRAYNET</w:t>
            </w:r>
          </w:p>
        </w:tc>
        <w:tc>
          <w:tcPr>
            <w:tcW w:type="dxa" w:w="7488"/>
            <w:vAlign w:val="center"/>
            <w:shd w:fill="F4F7F9"/>
          </w:tcPr>
          <w:p>
            <w:pPr>
              <w:spacing w:after="0" w:line="245" w:lineRule="auto"/>
            </w:pPr>
            <w:r>
              <w:rPr>
                <w:b w:val="0"/>
                <w:i w:val="0"/>
                <w:color w:val="000000"/>
                <w:sz w:val="18"/>
              </w:rPr>
              <w:t>Edge-cloud AI platform, built with AWS.</w:t>
            </w:r>
          </w:p>
        </w:tc>
      </w:tr>
    </w:tbl>
    <w:p>
      <w:pPr>
        <w:spacing w:after="20"/>
      </w:pPr>
    </w:p>
    <w:p>
      <w:pPr>
        <w:pStyle w:val="Heading3"/>
      </w:pPr>
      <w:r>
        <w:t>7.3 Contacts</w:t>
      </w:r>
    </w:p>
    <w:p>
      <w:r>
        <w:rPr>
          <w:b/>
          <w:i w:val="0"/>
        </w:rPr>
        <w:t xml:space="preserve">Orders, quotations and distribution:   </w:t>
      </w:r>
      <w:r>
        <w:rPr>
          <w:b w:val="0"/>
          <w:i w:val="0"/>
        </w:rPr>
        <w:t>order@hms-global.com</w:t>
      </w:r>
    </w:p>
    <w:p>
      <w:r>
        <w:rPr>
          <w:b/>
          <w:i w:val="0"/>
        </w:rPr>
        <w:t xml:space="preserve">Technical, developer and marketing support:   </w:t>
      </w:r>
      <w:r>
        <w:rPr>
          <w:b w:val="0"/>
          <w:i w:val="0"/>
        </w:rPr>
        <w:t>ar-support@hms-global.com</w:t>
      </w:r>
    </w:p>
    <w:p>
      <w:pPr>
        <w:pStyle w:val="Heading2"/>
      </w:pPr>
      <w:r>
        <w:t>8 Frequently asked questions</w:t>
      </w:r>
    </w:p>
    <w:p>
      <w:r>
        <w:rPr>
          <w:b w:val="0"/>
          <w:i w:val="0"/>
          <w:color w:val="555555"/>
          <w:sz w:val="18"/>
        </w:rPr>
        <w:t>Select the questions relevant to the audience. Answers can be shortened but should not be made more definite than they are written here.</w:t>
      </w:r>
    </w:p>
    <w:p>
      <w:pPr>
        <w:pStyle w:val="Heading3"/>
      </w:pPr>
      <w:r>
        <w:t>8.1 Product</w:t>
      </w:r>
    </w:p>
    <w:p>
      <w:pPr>
        <w:keepNext/>
        <w:spacing w:before="140"/>
      </w:pPr>
      <w:r>
        <w:rPr>
          <w:b/>
          <w:i w:val="0"/>
        </w:rPr>
        <w:t>What is SiNGRAY G2?</w:t>
      </w:r>
    </w:p>
    <w:p>
      <w:r>
        <w:rPr>
          <w:b w:val="0"/>
          <w:i w:val="0"/>
        </w:rPr>
        <w:t>A standalone binocular optical see-through AR platform built for enterprise applications and deployment. It combines Micro-OLED optics, true 6DoF spatial tracking and on-device computing, with IP65 protection and a hot-swappable battery for evaluated industrial workflows.</w:t>
      </w:r>
    </w:p>
    <w:p>
      <w:pPr>
        <w:keepNext/>
        <w:spacing w:before="140"/>
      </w:pPr>
      <w:r>
        <w:rPr>
          <w:b/>
          <w:i w:val="0"/>
        </w:rPr>
        <w:t>Is it optical see-through or camera passthrough?</w:t>
      </w:r>
    </w:p>
    <w:p>
      <w:r>
        <w:rPr>
          <w:b w:val="0"/>
          <w:i w:val="0"/>
        </w:rPr>
        <w:t>Optical see-through. The wearer views the workplace directly through the optics and sees instructions, 3D models and remote guidance in context. The real-world view is direct rather than camera-mediated; digital overlays are rendered separately. Electrochromic glass adjusts transparency as lighting conditions change.</w:t>
      </w:r>
    </w:p>
    <w:p>
      <w:pPr>
        <w:keepNext/>
        <w:spacing w:before="140"/>
      </w:pPr>
      <w:r>
        <w:rPr>
          <w:b/>
          <w:i w:val="0"/>
        </w:rPr>
        <w:t>How is it different from assisted-reality smart glasses?</w:t>
      </w:r>
    </w:p>
    <w:p>
      <w:r>
        <w:rPr>
          <w:b w:val="0"/>
          <w:i w:val="0"/>
        </w:rPr>
        <w:t>Assisted-reality smart glasses are typically monocular and show 2D content on a fixed display, which suits structured, video-based workflows. SiNGRAY G2 is binocular and tracks its own position in the environment with 6DoF visual SLAM, so it can anchor instructions to a component, overlay digital twins and support spatial collaboration.</w:t>
      </w:r>
    </w:p>
    <w:p>
      <w:pPr>
        <w:keepNext/>
        <w:spacing w:before="140"/>
      </w:pPr>
      <w:r>
        <w:rPr>
          <w:b/>
          <w:i w:val="0"/>
        </w:rPr>
        <w:t>Is SiNGRAY G2 a replacement for HoloLens 2?</w:t>
      </w:r>
    </w:p>
    <w:p>
      <w:r>
        <w:rPr>
          <w:b w:val="0"/>
          <w:i w:val="0"/>
        </w:rPr>
        <w:t>SiNGRAY G2 is built for the same class of enterprise work. For teams whose HoloLens 2 fleets are reaching end of life, it is a current hardware option from a different manufacturer. Existing applications are migrated and tested on G2 rather than installed directly.</w:t>
      </w:r>
    </w:p>
    <w:p>
      <w:pPr>
        <w:keepNext/>
        <w:spacing w:before="140"/>
      </w:pPr>
      <w:r>
        <w:rPr>
          <w:b/>
          <w:i w:val="0"/>
        </w:rPr>
        <w:t>How long does the battery last, and can it be changed during work?</w:t>
      </w:r>
    </w:p>
    <w:p>
      <w:r>
        <w:rPr>
          <w:b w:val="0"/>
          <w:i w:val="0"/>
        </w:rPr>
        <w:t>Runtime depends on the application and display settings. The 2500 mAh / 7.6 V (19 Wh) battery pack is hot-swappable. When the pack is replaced according to the user manual, backup power keeps the device running. With the Dual-Battery Kit, one battery can power the device while the other charges.</w:t>
      </w:r>
    </w:p>
    <w:p>
      <w:pPr>
        <w:keepNext/>
        <w:spacing w:before="140"/>
      </w:pPr>
      <w:r>
        <w:rPr>
          <w:b/>
          <w:i w:val="0"/>
        </w:rPr>
        <w:t>Can it be used outdoors or in bright light?</w:t>
      </w:r>
    </w:p>
    <w:p>
      <w:r>
        <w:rPr>
          <w:b w:val="0"/>
          <w:i w:val="0"/>
        </w:rPr>
        <w:t>The electrochromic glass adjusts transparency as lighting conditions change. Readability and tracking performance must be evaluated under the lighting conditions at the intended site.</w:t>
      </w:r>
    </w:p>
    <w:p>
      <w:pPr>
        <w:keepNext/>
        <w:spacing w:before="140"/>
      </w:pPr>
      <w:r>
        <w:rPr>
          <w:b/>
          <w:i w:val="0"/>
        </w:rPr>
        <w:t>Can it be worn with PPE or prescription glasses?</w:t>
      </w:r>
    </w:p>
    <w:p>
      <w:r>
        <w:rPr>
          <w:b w:val="0"/>
          <w:i w:val="0"/>
        </w:rPr>
        <w:t>The device accommodates prescription glasses. Fit and compatibility with the specific protective equipment required at a site must be checked during evaluation.</w:t>
      </w:r>
    </w:p>
    <w:p>
      <w:pPr>
        <w:keepNext/>
        <w:spacing w:before="140"/>
      </w:pPr>
      <w:r>
        <w:rPr>
          <w:b/>
          <w:i w:val="0"/>
        </w:rPr>
        <w:t>Does it work offline?</w:t>
      </w:r>
    </w:p>
    <w:p>
      <w:r>
        <w:rPr>
          <w:b w:val="0"/>
          <w:i w:val="0"/>
        </w:rPr>
        <w:t>Yes. Compatible applications run directly on the device. Network access is needed only for features that require it, such as remote assistance or cloud content.</w:t>
      </w:r>
    </w:p>
    <w:p>
      <w:pPr>
        <w:pStyle w:val="Heading3"/>
      </w:pPr>
      <w:r>
        <w:t>8.2 Software and compatibility</w:t>
      </w:r>
    </w:p>
    <w:p>
      <w:pPr>
        <w:keepNext/>
        <w:spacing w:before="140"/>
      </w:pPr>
      <w:r>
        <w:rPr>
          <w:b/>
          <w:i w:val="0"/>
        </w:rPr>
        <w:t>Which operating system does it run?</w:t>
      </w:r>
    </w:p>
    <w:p>
      <w:r>
        <w:rPr>
          <w:b w:val="0"/>
          <w:i w:val="0"/>
        </w:rPr>
        <w:t>An Android-based operating system built on Android 15 AOSP. It provides the foundation for enterprise enrollment, security, application management and software updates through compatible mobile device management (MDM) solutions.</w:t>
      </w:r>
    </w:p>
    <w:p>
      <w:pPr>
        <w:keepNext/>
        <w:spacing w:before="140"/>
      </w:pPr>
      <w:r>
        <w:rPr>
          <w:b/>
          <w:i w:val="0"/>
        </w:rPr>
        <w:t>Which software is included?</w:t>
      </w:r>
    </w:p>
    <w:p>
      <w:r>
        <w:rPr>
          <w:b w:val="0"/>
          <w:i w:val="0"/>
        </w:rPr>
        <w:t>The device is supplied with its Android-based operating system and the HMS system software, together with access to SiNGRAY G2 Configure for authorized administrators. Applications are not included as standard. They are licensed from HMS software partners or developed by customers using the SiNGRAY Native SDK or the built-in OpenXR runtime. For bundled offerings, the distributor's quotation specifies the software licenses, services and support included.</w:t>
      </w:r>
    </w:p>
    <w:p>
      <w:pPr>
        <w:keepNext/>
        <w:spacing w:before="140"/>
      </w:pPr>
      <w:r>
        <w:rPr>
          <w:b/>
          <w:i w:val="0"/>
        </w:rPr>
        <w:t>Can our existing AR application run on G2?</w:t>
      </w:r>
    </w:p>
    <w:p>
      <w:r>
        <w:rPr>
          <w:b w:val="0"/>
          <w:i w:val="0"/>
        </w:rPr>
        <w:t>Existing applications are migrated rather than installed directly. Each application is reviewed against the G2 configuration and then tested on the device. The review covers the engine version, required OpenXR extensions, input model and dependent services. Share the application details with your distributor or HMS to start this process.</w:t>
      </w:r>
    </w:p>
    <w:p>
      <w:pPr>
        <w:keepNext/>
        <w:spacing w:before="140"/>
      </w:pPr>
      <w:r>
        <w:rPr>
          <w:b/>
          <w:i w:val="0"/>
        </w:rPr>
        <w:t>Which development environments are supported?</w:t>
      </w:r>
    </w:p>
    <w:p>
      <w:r>
        <w:rPr>
          <w:b w:val="0"/>
          <w:i w:val="0"/>
        </w:rPr>
        <w:t>OpenXR through the built-in runtime, Unity, and the SiNGRAY Native SDK. Developer documentation and SDK access are provided by HMS through ar-support@hms-global.com. Project-specific technical assistance is available through the optional developer support service.</w:t>
      </w:r>
    </w:p>
    <w:p>
      <w:pPr>
        <w:keepNext/>
        <w:spacing w:before="140"/>
      </w:pPr>
      <w:r>
        <w:rPr>
          <w:b/>
          <w:i w:val="0"/>
        </w:rPr>
        <w:t>Which device-management platforms are supported?</w:t>
      </w:r>
    </w:p>
    <w:p>
      <w:r>
        <w:rPr>
          <w:b w:val="0"/>
          <w:i w:val="0"/>
        </w:rPr>
        <w:t>ArborXR publishes a dedicated G2 enrollment guide. ManageXR provides generic Android device guidance. Microsoft Intune validation is in progress. Feature coverage differs by platform and is still being completed; the G2-specific scope is confirmed for each deployment. SiNGRAY G2 Configure is also available for authorized administrators. One MDM platform is selected at first boot.</w:t>
      </w:r>
    </w:p>
    <w:p>
      <w:pPr>
        <w:keepNext/>
        <w:spacing w:before="140"/>
      </w:pPr>
      <w:r>
        <w:rPr>
          <w:b/>
          <w:i w:val="0"/>
        </w:rPr>
        <w:t>Does it support Microsoft Intune?</w:t>
      </w:r>
    </w:p>
    <w:p>
      <w:r>
        <w:rPr>
          <w:b w:val="0"/>
          <w:i w:val="0"/>
        </w:rPr>
        <w:t>Microsoft Intune validation is in progress. Contact HMS for the current status before planning an Intune-managed deployment.</w:t>
      </w:r>
    </w:p>
    <w:p>
      <w:pPr>
        <w:pStyle w:val="Heading3"/>
      </w:pPr>
      <w:r>
        <w:t>8.3 Deployment</w:t>
      </w:r>
    </w:p>
    <w:p>
      <w:pPr>
        <w:keepNext/>
        <w:spacing w:before="140"/>
      </w:pPr>
      <w:r>
        <w:rPr>
          <w:b/>
          <w:i w:val="0"/>
        </w:rPr>
        <w:t>What is in the box?</w:t>
      </w:r>
    </w:p>
    <w:p>
      <w:r>
        <w:rPr>
          <w:b w:val="0"/>
          <w:i w:val="0"/>
        </w:rPr>
        <w:t>The SiNGRAY G2 headset, battery pack(s), a carrying case and charging accessories, with one battery in the Single-Battery Kit or two in the Dual-Battery Kit. Storage configuration and exact contents are confirmed on the quotation and packing list for each order.</w:t>
      </w:r>
    </w:p>
    <w:p>
      <w:pPr>
        <w:keepNext/>
        <w:spacing w:before="140"/>
      </w:pPr>
      <w:r>
        <w:rPr>
          <w:b/>
          <w:i w:val="0"/>
        </w:rPr>
        <w:t>Is SiNGRAY G2 certified for our market?</w:t>
      </w:r>
    </w:p>
    <w:p>
      <w:r>
        <w:rPr>
          <w:b w:val="0"/>
          <w:i w:val="0"/>
        </w:rPr>
        <w:t>Regulatory information applicable to a specific unit and market is provided with the product and on its labeling. Ask your distributor for the certification status covering your deployment country before ordering.</w:t>
      </w:r>
    </w:p>
    <w:p>
      <w:pPr>
        <w:keepNext/>
        <w:spacing w:before="140"/>
      </w:pPr>
      <w:r>
        <w:rPr>
          <w:b/>
          <w:i w:val="0"/>
        </w:rPr>
        <w:t>Where is it manufactured?</w:t>
      </w:r>
    </w:p>
    <w:p>
      <w:r>
        <w:rPr>
          <w:b w:val="0"/>
          <w:i w:val="0"/>
        </w:rPr>
        <w:t>Manufacturing and country-of-origin information for a specific order is available from HMS.</w:t>
      </w:r>
    </w:p>
    <w:p>
      <w:pPr>
        <w:keepNext/>
        <w:spacing w:before="140"/>
      </w:pPr>
      <w:r>
        <w:rPr>
          <w:b/>
          <w:i w:val="0"/>
        </w:rPr>
        <w:t>What warranty and support are included?</w:t>
      </w:r>
    </w:p>
    <w:p>
      <w:r>
        <w:rPr>
          <w:b w:val="0"/>
          <w:i w:val="0"/>
        </w:rPr>
        <w:t>Warranty, RMA and commercial support are provided through the authorized distributor for your market. Developer support is a separate, optional service from HMS.</w:t>
      </w:r>
    </w:p>
    <w:p>
      <w:pPr>
        <w:keepNext/>
        <w:spacing w:before="140"/>
      </w:pPr>
      <w:r>
        <w:rPr>
          <w:b/>
          <w:i w:val="0"/>
        </w:rPr>
        <w:t>How do we start an evaluation?</w:t>
      </w:r>
    </w:p>
    <w:p>
      <w:r>
        <w:rPr>
          <w:b w:val="0"/>
          <w:i w:val="0"/>
        </w:rPr>
        <w:t>Contact your distributor with your industry, use case, deployment country, quantity and target timeline. A representative workflow from your own operation is the best starting point for a demonstration.</w:t>
      </w:r>
    </w:p>
    <w:p>
      <w:pPr>
        <w:pStyle w:val="Heading3"/>
      </w:pPr>
      <w:r>
        <w:t>8.4 Commercial</w:t>
      </w:r>
    </w:p>
    <w:p>
      <w:pPr>
        <w:keepNext/>
        <w:spacing w:before="140"/>
      </w:pPr>
      <w:r>
        <w:rPr>
          <w:b/>
          <w:i w:val="0"/>
        </w:rPr>
        <w:t>When can we order?</w:t>
      </w:r>
    </w:p>
    <w:p>
      <w:r>
        <w:rPr>
          <w:b w:val="0"/>
          <w:i w:val="0"/>
        </w:rPr>
        <w:t>Mass-production orders open on 10 October 2026, ahead of the official launch at the Augmented Enterprise Summit on 13–15 October. Delivery windows are confirmed for each order.</w:t>
      </w:r>
    </w:p>
    <w:p>
      <w:pPr>
        <w:keepNext/>
        <w:spacing w:before="140"/>
      </w:pPr>
      <w:r>
        <w:rPr>
          <w:b/>
          <w:i w:val="0"/>
        </w:rPr>
        <w:t>What is the price?</w:t>
      </w:r>
    </w:p>
    <w:p>
      <w:r>
        <w:rPr>
          <w:b w:val="0"/>
          <w:i w:val="0"/>
        </w:rPr>
        <w:t>Pricing is quoted by the authorized distributor for your market and configuration. The quotation covers hardware configuration, software, accessories and services.</w:t>
      </w:r>
    </w:p>
    <w:p>
      <w:pPr>
        <w:keepNext/>
        <w:spacing w:before="140"/>
      </w:pPr>
      <w:r>
        <w:rPr>
          <w:b/>
          <w:i w:val="0"/>
        </w:rPr>
        <w:t>Who do we buy from?</w:t>
      </w:r>
    </w:p>
    <w:p>
      <w:r>
        <w:rPr>
          <w:b w:val="0"/>
          <w:i w:val="0"/>
        </w:rPr>
        <w:t>From an authorized G2 distributor. If you do not yet work with one, HMS can route your inquiry to the appropriate distributor for your market.</w:t>
      </w:r>
    </w:p>
    <w:p>
      <w:pPr>
        <w:keepNext/>
        <w:spacing w:before="140"/>
      </w:pPr>
      <w:r>
        <w:rPr>
          <w:b/>
          <w:i w:val="0"/>
        </w:rPr>
        <w:t>What is the G2 Launch 100 program?</w:t>
      </w:r>
    </w:p>
    <w:p>
      <w:r>
        <w:rPr>
          <w:b w:val="0"/>
          <w:i w:val="0"/>
        </w:rPr>
        <w:t>An HMS program for participating early customers of the SiNGRAY G2, running alongside the opening of orders. Eligibility, allocation and registration details will be announced separately. Members receive priority within the initial production allocation, a named HMS contact for program coordination and product feedback, and invitations to private product-advisory sessions on the next-generation platform. The program adds no separate purchasing step.</w:t>
      </w:r>
    </w:p>
    <w:sectPr w:rsidR="00FC693F" w:rsidRPr="0006063C" w:rsidSect="00034616">
      <w:footerReference w:type="default" r:id="rId9"/>
      <w:pgSz w:w="12240" w:h="15840"/>
      <w:pgMar w:top="893" w:right="936" w:bottom="864" w:left="936" w:header="331"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HMS SiNGRAY G2 Marketing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00"/>
    </w:pPr>
    <w:rPr>
      <w:rFonts w:ascii="Arial" w:hAnsi="Arial"/>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40"/>
      <w:outlineLvl w:val="0"/>
    </w:pPr>
    <w:rPr>
      <w:rFonts w:asciiTheme="majorHAnsi" w:eastAsiaTheme="majorEastAsia" w:hAnsiTheme="majorHAnsi" w:cstheme="majorBidi" w:ascii="Arial" w:hAnsi="Arial"/>
      <w:b/>
      <w:bCs/>
      <w:i w:val="0"/>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Theme="majorHAnsi" w:eastAsiaTheme="majorEastAsia" w:hAnsiTheme="majorHAnsi" w:cstheme="majorBidi" w:ascii="Arial" w:hAnsi="Arial"/>
      <w:b/>
      <w:bCs/>
      <w:i w:val="0"/>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outlineLvl w:val="2"/>
    </w:pPr>
    <w:rPr>
      <w:rFonts w:asciiTheme="majorHAnsi" w:eastAsiaTheme="majorEastAsia" w:hAnsiTheme="majorHAnsi" w:cstheme="majorBidi" w:ascii="Arial" w:hAnsi="Arial"/>
      <w:b/>
      <w:bCs/>
      <w:i w:val="0"/>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140" w:after="60"/>
      <w:outlineLvl w:val="3"/>
    </w:pPr>
    <w:rPr>
      <w:rFonts w:asciiTheme="majorHAnsi" w:eastAsiaTheme="majorEastAsia" w:hAnsiTheme="majorHAnsi" w:cstheme="majorBidi" w:ascii="Arial" w:hAnsi="Arial"/>
      <w:b/>
      <w:bCs/>
      <w:i w:val="0"/>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Arial" w:hAnsi="Arial"/>
      <w:b/>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pPr>
    <w:rPr>
      <w:rFonts w:asciiTheme="majorHAnsi" w:eastAsiaTheme="majorEastAsia" w:hAnsiTheme="majorHAnsi" w:cstheme="majorBidi" w:ascii="Arial" w:hAnsi="Arial"/>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52" w:lineRule="auto"/>
      <w:contextualSpacing/>
    </w:pPr>
    <w:rPr>
      <w:rFonts w:ascii="Arial" w:hAnsi="Arial"/>
      <w:i w:val="0"/>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60" w:line="252" w:lineRule="auto"/>
      <w:contextualSpacing/>
    </w:pPr>
    <w:rPr>
      <w:rFonts w:ascii="Arial" w:hAnsi="Arial"/>
      <w:i w:val="0"/>
      <w:color w:val="000000"/>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ms-g2-marketing-pack.pages.dev/" TargetMode="External"/><Relationship Id="rId11" Type="http://schemas.openxmlformats.org/officeDocument/2006/relationships/hyperlink" Target="https://drive.google.com/file/d/1c8SurFmIQcC2ngFcGKS81L-VasbWlQ0s/view?usp=sharing" TargetMode="External"/><Relationship Id="rId12" Type="http://schemas.openxmlformats.org/officeDocument/2006/relationships/hyperlink" Target="https://drive.google.com/file/d/1r9HvCkppTqdPX_1u0Yd6FPBMXppOJNNH/view?usp=sharing" TargetMode="External"/><Relationship Id="rId13" Type="http://schemas.openxmlformats.org/officeDocument/2006/relationships/hyperlink" Target="https://drive.google.com/file/d/161Xpm7FSQE6Xe1CTG9_RphWvQcXTvmD3/view?usp=sharing" TargetMode="External"/><Relationship Id="rId14" Type="http://schemas.openxmlformats.org/officeDocument/2006/relationships/hyperlink" Target="https://drive.google.com/file/d/1Sg1c3zgzTXVn3lkQOoMvfNGfEhUP-oTp/view?usp=sharing" TargetMode="External"/><Relationship Id="rId15" Type="http://schemas.openxmlformats.org/officeDocument/2006/relationships/hyperlink" Target="https://drive.google.com/file/d/1C-aDBtw6qKSSedj5x90r5yM1Qy0A0TtR/view?usp=sharing" TargetMode="External"/><Relationship Id="rId16" Type="http://schemas.openxmlformats.org/officeDocument/2006/relationships/hyperlink" Target="https://drive.google.com/file/d/1jvM0Gebpjr8GLbJKg3noKAnEv1P9Rpzt/view?usp=sharing" TargetMode="External"/><Relationship Id="rId17" Type="http://schemas.openxmlformats.org/officeDocument/2006/relationships/hyperlink" Target="https://drive.google.com/file/d/1_HeUzoUHDCIQk2lwf_TKnGS9VtetLT08/view?usp=sharing" TargetMode="External"/><Relationship Id="rId18" Type="http://schemas.openxmlformats.org/officeDocument/2006/relationships/hyperlink" Target="https://drive.google.com/file/d/1jBH56Y183YrLEJ9ee49v57bzA63QjfkS/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HMS SiNGRAY G2 Marketing Pack</dc:title>
  <dc:subject>Product information and marketing materials for channel partners and customers</dc:subject>
  <dc:creator>HMS</dc:creator>
  <cp:keywords/>
  <dc:description/>
  <cp:lastModifiedBy>HMS</cp:lastModifiedBy>
  <cp:revision>1</cp:revision>
  <dcterms:created xsi:type="dcterms:W3CDTF">2013-12-23T23:15:00Z</dcterms:created>
  <dcterms:modified xsi:type="dcterms:W3CDTF">2013-12-23T23:15:00Z</dcterms:modified>
  <cp:category/>
</cp:coreProperties>
</file>